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6BEA" w14:textId="77777777" w:rsidR="00C958A9" w:rsidRDefault="00C958A9"/>
    <w:p w14:paraId="333DDE4E" w14:textId="77777777" w:rsidR="00274771" w:rsidRDefault="00274771">
      <w:pPr>
        <w:pStyle w:val="Reportheader"/>
        <w:widowControl/>
      </w:pPr>
    </w:p>
    <w:p w14:paraId="67861832" w14:textId="77777777" w:rsidR="00274771" w:rsidRDefault="00EA7600">
      <w:pPr>
        <w:pStyle w:val="Reportheader"/>
        <w:framePr w:w="850" w:h="850" w:wrap="auto" w:vAnchor="page" w:hAnchor="page" w:x="9723" w:y="964"/>
        <w:widowControl/>
        <w:rPr>
          <w:color w:val="auto"/>
          <w:sz w:val="24"/>
          <w:szCs w:val="24"/>
        </w:rPr>
      </w:pPr>
      <w:r>
        <w:rPr>
          <w:color w:val="auto"/>
          <w:sz w:val="24"/>
          <w:szCs w:val="24"/>
        </w:rPr>
        <w:drawing>
          <wp:inline distT="0" distB="0" distL="0" distR="0" wp14:anchorId="559968D3" wp14:editId="795757DE">
            <wp:extent cx="542925" cy="542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1E5B2968" w14:textId="77777777" w:rsidR="00274771" w:rsidRDefault="00EA7600">
      <w:pPr>
        <w:pStyle w:val="Reportheader"/>
        <w:framePr w:w="850" w:h="850" w:wrap="auto" w:vAnchor="page" w:hAnchor="page" w:x="8760" w:y="964"/>
        <w:widowControl/>
        <w:rPr>
          <w:color w:val="auto"/>
          <w:sz w:val="24"/>
          <w:szCs w:val="24"/>
        </w:rPr>
      </w:pPr>
      <w:r>
        <w:rPr>
          <w:color w:val="auto"/>
          <w:sz w:val="24"/>
          <w:szCs w:val="24"/>
        </w:rPr>
        <w:drawing>
          <wp:inline distT="0" distB="0" distL="0" distR="0" wp14:anchorId="26D2CB19" wp14:editId="7FC643D6">
            <wp:extent cx="542925" cy="542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2C3B0943" w14:textId="77777777" w:rsidR="00E83E5C" w:rsidRDefault="00E83E5C">
      <w:pPr>
        <w:pStyle w:val="Sectiontitle"/>
        <w:widowControl/>
        <w:rPr>
          <w:lang w:val="en-US"/>
        </w:rPr>
      </w:pPr>
      <w:r>
        <w:rPr>
          <w:lang w:val="en-US"/>
        </w:rPr>
        <w:drawing>
          <wp:inline distT="0" distB="0" distL="0" distR="0" wp14:anchorId="3B841B87" wp14:editId="3B994861">
            <wp:extent cx="1384479" cy="607323"/>
            <wp:effectExtent l="0" t="0" r="0" b="0"/>
            <wp:docPr id="3596569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56936" name="Immagine 359656936"/>
                    <pic:cNvPicPr/>
                  </pic:nvPicPr>
                  <pic:blipFill>
                    <a:blip r:embed="rId9"/>
                    <a:stretch>
                      <a:fillRect/>
                    </a:stretch>
                  </pic:blipFill>
                  <pic:spPr>
                    <a:xfrm>
                      <a:off x="0" y="0"/>
                      <a:ext cx="1417448" cy="621785"/>
                    </a:xfrm>
                    <a:prstGeom prst="rect">
                      <a:avLst/>
                    </a:prstGeom>
                  </pic:spPr>
                </pic:pic>
              </a:graphicData>
            </a:graphic>
          </wp:inline>
        </w:drawing>
      </w:r>
      <w:r w:rsidR="00274771" w:rsidRPr="002C4D2B">
        <w:rPr>
          <w:lang w:val="en-US"/>
        </w:rPr>
        <w:br/>
      </w:r>
    </w:p>
    <w:p w14:paraId="2A503C32" w14:textId="377C0791" w:rsidR="00274771" w:rsidRPr="002C4D2B" w:rsidRDefault="00274771">
      <w:pPr>
        <w:pStyle w:val="Sectiontitle"/>
        <w:widowControl/>
        <w:rPr>
          <w:lang w:val="en-US"/>
        </w:rPr>
      </w:pPr>
      <w:r>
        <w:t>Fiche de données de sécurité du 02/08/2025, révision 2</w:t>
      </w:r>
    </w:p>
    <w:p w14:paraId="63221398" w14:textId="77777777" w:rsidR="00274771" w:rsidRPr="002C4D2B" w:rsidRDefault="00274771">
      <w:pPr>
        <w:pStyle w:val="Sectiontitle"/>
        <w:widowControl/>
        <w:rPr>
          <w:lang w:val="en-US"/>
        </w:rPr>
      </w:pPr>
    </w:p>
    <w:p w14:paraId="2D56885C" w14:textId="77777777" w:rsidR="00274771" w:rsidRPr="002C4D2B" w:rsidRDefault="00EA7600">
      <w:pPr>
        <w:pStyle w:val="Sectiontitle"/>
        <w:widowControl/>
        <w:rPr>
          <w:lang w:val="en-US"/>
        </w:rPr>
      </w:pPr>
      <w:r>
        <mc:AlternateContent>
          <mc:Choice Requires="wps">
            <w:drawing>
              <wp:anchor distT="0" distB="0" distL="114300" distR="114300" simplePos="0" relativeHeight="251649536" behindDoc="1" locked="0" layoutInCell="0" allowOverlap="1" wp14:anchorId="74256D10" wp14:editId="5AD5F69F">
                <wp:simplePos x="0" y="0"/>
                <wp:positionH relativeFrom="column">
                  <wp:posOffset>-35560</wp:posOffset>
                </wp:positionH>
                <wp:positionV relativeFrom="paragraph">
                  <wp:posOffset>0</wp:posOffset>
                </wp:positionV>
                <wp:extent cx="6065520" cy="635"/>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F80EA8"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Djjb2/HAQAAeg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1 : Identification de la substance/du mélange et de la société/l’entreprise</w:t>
      </w:r>
    </w:p>
    <w:p w14:paraId="6BB9F89A" w14:textId="77777777" w:rsidR="00281C73" w:rsidRPr="002C4D2B" w:rsidRDefault="00281C73" w:rsidP="00281C73">
      <w:pPr>
        <w:pStyle w:val="SDStext"/>
        <w:widowControl/>
        <w:ind w:left="566"/>
        <w:rPr>
          <w:lang w:val="en-US"/>
        </w:rPr>
      </w:pPr>
      <w:r>
        <w:t>1.1. Identificateur de produit</w:t>
      </w:r>
    </w:p>
    <w:p w14:paraId="58831B36" w14:textId="77777777" w:rsidR="00281C73" w:rsidRPr="002C4D2B" w:rsidRDefault="00281C73" w:rsidP="00281C73">
      <w:pPr>
        <w:pStyle w:val="SDStext"/>
        <w:widowControl/>
        <w:ind w:left="1133"/>
        <w:rPr>
          <w:lang w:val="en-US"/>
        </w:rPr>
      </w:pPr>
      <w:r>
        <w:t>Identification du mélange :</w:t>
      </w:r>
    </w:p>
    <w:p w14:paraId="38B7DCC8" w14:textId="10C64E4B" w:rsidR="00281C73" w:rsidRPr="002C4D2B" w:rsidRDefault="00281C73" w:rsidP="00281C73">
      <w:pPr>
        <w:pStyle w:val="SDStext"/>
        <w:widowControl/>
        <w:ind w:left="3968" w:hanging="2834"/>
        <w:rPr>
          <w:lang w:val="en-US"/>
        </w:rPr>
      </w:pPr>
      <w:r>
        <w:t>Nom commercial :</w:t>
        <w:tab/>
        <w:t>Solvant nettoyant pour mousse polyuréthane</w:t>
      </w:r>
    </w:p>
    <w:p w14:paraId="009DA94B" w14:textId="076E0257" w:rsidR="00281C73" w:rsidRPr="002C4D2B" w:rsidRDefault="00281C73" w:rsidP="00281C73">
      <w:pPr>
        <w:pStyle w:val="SDStext"/>
        <w:widowControl/>
        <w:ind w:left="3968" w:hanging="2834"/>
        <w:rPr>
          <w:lang w:val="en-US"/>
        </w:rPr>
      </w:pPr>
      <w:r>
        <w:t>Code commercial :</w:t>
        <w:tab/>
        <w:t>NSP-SP</w:t>
      </w:r>
    </w:p>
    <w:p w14:paraId="3B746469" w14:textId="77777777" w:rsidR="00281C73" w:rsidRPr="002C4D2B" w:rsidRDefault="00281C73" w:rsidP="00281C73">
      <w:pPr>
        <w:pStyle w:val="SDStext"/>
        <w:widowControl/>
        <w:ind w:left="1133"/>
        <w:rPr>
          <w:lang w:val="en-US"/>
        </w:rPr>
      </w:pPr>
    </w:p>
    <w:p w14:paraId="7B3CD287" w14:textId="77777777" w:rsidR="00281C73" w:rsidRPr="002C4D2B" w:rsidRDefault="00281C73" w:rsidP="00281C73">
      <w:pPr>
        <w:pStyle w:val="SDStext"/>
        <w:widowControl/>
        <w:ind w:left="566"/>
        <w:rPr>
          <w:lang w:val="en-US"/>
        </w:rPr>
      </w:pPr>
      <w:r>
        <w:t>1.2. Utilisations identifiées pertinentes de la substance ou du mélange et utilisations déconseillées</w:t>
      </w:r>
    </w:p>
    <w:p w14:paraId="67658E29" w14:textId="77777777" w:rsidR="00281C73" w:rsidRPr="002C4D2B" w:rsidRDefault="00281C73" w:rsidP="00281C73">
      <w:pPr>
        <w:pStyle w:val="TestoSDS"/>
        <w:widowControl/>
        <w:ind w:left="566" w:firstLine="567"/>
        <w:rPr>
          <w:lang w:val="en-US"/>
        </w:rPr>
      </w:pPr>
      <w:r>
        <w:t>Description/Utilisation :</w:t>
        <w:tab/>
        <w:t>Nettoyant solvanté</w:t>
      </w:r>
    </w:p>
    <w:p w14:paraId="3E0BA452" w14:textId="77777777" w:rsidR="00281C73" w:rsidRPr="002C4D2B" w:rsidRDefault="00281C73" w:rsidP="00281C73">
      <w:pPr>
        <w:pStyle w:val="TestoSDS"/>
        <w:widowControl/>
        <w:ind w:left="566" w:firstLine="567"/>
        <w:rPr>
          <w:lang w:val="en-US"/>
        </w:rPr>
      </w:pPr>
      <w:r>
        <w:t>Utilisations déconseillées :</w:t>
        <w:tab/>
        <w:t>Toute utilisation non spécifiée dans cette section ni dans la section 7.3</w:t>
      </w:r>
    </w:p>
    <w:p w14:paraId="5FABA711" w14:textId="77777777" w:rsidR="00281C73" w:rsidRPr="002C4D2B" w:rsidRDefault="00281C73" w:rsidP="00281C73">
      <w:pPr>
        <w:pStyle w:val="SDStext"/>
        <w:widowControl/>
        <w:ind w:left="566"/>
        <w:rPr>
          <w:lang w:val="en-US"/>
        </w:rPr>
      </w:pPr>
    </w:p>
    <w:p w14:paraId="573529BD" w14:textId="77777777" w:rsidR="00281C73" w:rsidRPr="002C4D2B" w:rsidRDefault="00281C73" w:rsidP="00281C73">
      <w:pPr>
        <w:pStyle w:val="SDStext"/>
        <w:widowControl/>
        <w:ind w:left="566"/>
        <w:rPr>
          <w:lang w:val="en-US"/>
        </w:rPr>
      </w:pPr>
      <w:r>
        <w:t>1.3. Renseignements concernant le fournisseur de la fiche de données de sécurité</w:t>
      </w:r>
    </w:p>
    <w:p w14:paraId="2D8F2D73" w14:textId="77777777" w:rsidR="00281C73" w:rsidRDefault="00281C73" w:rsidP="00281C73">
      <w:pPr>
        <w:pStyle w:val="SDStext"/>
        <w:widowControl/>
        <w:ind w:left="1133"/>
      </w:pPr>
      <w:r>
        <w:t>Fournisseur :</w:t>
      </w:r>
    </w:p>
    <w:p w14:paraId="68CF5CEE" w14:textId="194A5061" w:rsidR="00281C73" w:rsidRDefault="002C4D2B" w:rsidP="00281C73">
      <w:pPr>
        <w:pStyle w:val="SDStext"/>
        <w:widowControl/>
        <w:ind w:left="1133"/>
      </w:pPr>
      <w:r>
        <w:t>Sistem Air Group - Nobex srl - Via Cilavegna 53 - 27020 Gravellona Lomellina (PV) Italie</w:t>
      </w:r>
    </w:p>
    <w:p w14:paraId="762D1397" w14:textId="2D15C963" w:rsidR="00281C73" w:rsidRPr="002C4D2B" w:rsidRDefault="00281C73" w:rsidP="00281C73">
      <w:pPr>
        <w:pStyle w:val="SDStext"/>
        <w:widowControl/>
        <w:ind w:left="1133"/>
        <w:rPr>
          <w:lang w:val="en-US"/>
        </w:rPr>
      </w:pPr>
      <w:r>
        <w:t>Téléphone : +39-0381 650082 WhatsApp : +39 340 4090146</w:t>
      </w:r>
    </w:p>
    <w:p w14:paraId="3A556EBC" w14:textId="77777777" w:rsidR="00281C73" w:rsidRPr="002C4D2B" w:rsidRDefault="00281C73" w:rsidP="00872994">
      <w:pPr>
        <w:pStyle w:val="SDStext"/>
        <w:widowControl/>
        <w:ind w:left="566" w:firstLine="567"/>
        <w:rPr>
          <w:lang w:val="en-US"/>
        </w:rPr>
      </w:pPr>
      <w:r>
        <w:t>Personne compétente responsable de la fiche de données de sécurité :</w:t>
      </w:r>
    </w:p>
    <w:p w14:paraId="08A27A6A" w14:textId="231D14F0" w:rsidR="002C4D2B" w:rsidRDefault="00872994" w:rsidP="00872994">
      <w:pPr>
        <w:pStyle w:val="SDStext"/>
        <w:widowControl/>
        <w:ind w:left="566" w:firstLine="567"/>
        <w:rPr>
          <w:lang w:val="en-US"/>
        </w:rPr>
      </w:pPr>
      <w:r>
        <w:t>info@sistemairgroup.com</w:t>
      </w:r>
    </w:p>
    <w:p w14:paraId="7DAB8479" w14:textId="12ACC231" w:rsidR="00281C73" w:rsidRPr="002C4D2B" w:rsidRDefault="00281C73" w:rsidP="00281C73">
      <w:pPr>
        <w:pStyle w:val="SDStext"/>
        <w:widowControl/>
        <w:ind w:left="566"/>
        <w:rPr>
          <w:lang w:val="en-US"/>
        </w:rPr>
      </w:pPr>
      <w:r>
        <w:t>1.4. Numéro d’appel d’urgence</w:t>
      </w:r>
    </w:p>
    <w:p w14:paraId="38062140" w14:textId="77777777" w:rsidR="00281C73" w:rsidRPr="002C4D2B" w:rsidRDefault="00281C73" w:rsidP="00281C73">
      <w:pPr>
        <w:pStyle w:val="SDStext"/>
        <w:widowControl/>
        <w:ind w:left="1133"/>
        <w:rPr>
          <w:lang w:val="en-US"/>
        </w:rPr>
      </w:pPr>
      <w:r>
        <w:t>Téléphone : +39-0373268299 Fax : +39-0373688982</w:t>
      </w:r>
    </w:p>
    <w:p w14:paraId="5E366180" w14:textId="77777777" w:rsidR="00281C73" w:rsidRPr="002C4D2B" w:rsidRDefault="00281C73" w:rsidP="00281C73">
      <w:pPr>
        <w:pStyle w:val="SDStext"/>
        <w:widowControl/>
        <w:ind w:left="1133"/>
        <w:rPr>
          <w:lang w:val="en-US"/>
        </w:rPr>
      </w:pPr>
    </w:p>
    <w:p w14:paraId="67474FC1" w14:textId="77777777" w:rsidR="00281C73" w:rsidRPr="002C4D2B" w:rsidRDefault="00281C73" w:rsidP="00281C73">
      <w:pPr>
        <w:pStyle w:val="SDStext"/>
        <w:widowControl/>
        <w:ind w:left="1133"/>
        <w:rPr>
          <w:lang w:val="en-US"/>
        </w:rPr>
      </w:pPr>
      <w:r>
        <w:t>Liste des centres antipoison (CAV) :</w:t>
      </w:r>
    </w:p>
    <w:p w14:paraId="35CB7A4D" w14:textId="77777777" w:rsidR="00281C73" w:rsidRPr="002C4D2B" w:rsidRDefault="00281C73" w:rsidP="00281C73">
      <w:pPr>
        <w:pStyle w:val="SDStext"/>
        <w:widowControl/>
        <w:ind w:left="1133"/>
        <w:rPr>
          <w:lang w:val="en-US"/>
        </w:rPr>
      </w:pPr>
      <w:r>
        <w:t>Centre antipoison - Hôpital Niguarda - Milan - Tél. 02/66101029</w:t>
      </w:r>
    </w:p>
    <w:p w14:paraId="5A1FB7FC" w14:textId="77777777" w:rsidR="00281C73" w:rsidRPr="002C4D2B" w:rsidRDefault="00281C73" w:rsidP="00281C73">
      <w:pPr>
        <w:pStyle w:val="SDStext"/>
        <w:widowControl/>
        <w:ind w:left="1133"/>
        <w:rPr>
          <w:lang w:val="en-US"/>
        </w:rPr>
      </w:pPr>
      <w:r>
        <w:t>Centre antipoison - Hôpital S. G. Battista Molinette - Turin - Tél. 011/6637637</w:t>
      </w:r>
    </w:p>
    <w:p w14:paraId="0DE21A7D" w14:textId="77777777" w:rsidR="00281C73" w:rsidRPr="002C4D2B" w:rsidRDefault="00281C73" w:rsidP="00281C73">
      <w:pPr>
        <w:pStyle w:val="SDStext"/>
        <w:widowControl/>
        <w:ind w:left="1133"/>
        <w:rPr>
          <w:lang w:val="en-US"/>
        </w:rPr>
      </w:pPr>
      <w:r>
        <w:t>Centre antipoison - Département de pharmacologie, Université E. Meneghetti de Padoue - Tél. 049/8275078</w:t>
      </w:r>
    </w:p>
    <w:p w14:paraId="361EDC04" w14:textId="77777777" w:rsidR="00281C73" w:rsidRPr="002C4D2B" w:rsidRDefault="00281C73" w:rsidP="00281C73">
      <w:pPr>
        <w:pStyle w:val="SDStext"/>
        <w:widowControl/>
        <w:ind w:left="1133"/>
        <w:rPr>
          <w:lang w:val="en-US"/>
        </w:rPr>
      </w:pPr>
      <w:r>
        <w:t>Centre antipoison - Institut scientifique G. Gaslini - Gênes - Tél. 010/5636245</w:t>
      </w:r>
    </w:p>
    <w:p w14:paraId="58EB5E8B" w14:textId="77777777" w:rsidR="00281C73" w:rsidRPr="002C4D2B" w:rsidRDefault="00281C73" w:rsidP="00281C73">
      <w:pPr>
        <w:pStyle w:val="SDStext"/>
        <w:widowControl/>
        <w:ind w:left="1133"/>
        <w:rPr>
          <w:lang w:val="en-US"/>
        </w:rPr>
      </w:pPr>
      <w:r>
        <w:t>Centre antipoison - Hôpital Careggi - Florence - Tél. 055/4277238</w:t>
      </w:r>
    </w:p>
    <w:p w14:paraId="5896D336" w14:textId="77777777" w:rsidR="00281C73" w:rsidRPr="002C4D2B" w:rsidRDefault="00281C73" w:rsidP="00281C73">
      <w:pPr>
        <w:pStyle w:val="SDStext"/>
        <w:widowControl/>
        <w:ind w:left="1133"/>
        <w:rPr>
          <w:lang w:val="en-US"/>
        </w:rPr>
      </w:pPr>
      <w:r>
        <w:t>Centre antipoison - Hôpitaux réunis Cardarelli - Naples - Tél. 081/7472870</w:t>
      </w:r>
    </w:p>
    <w:p w14:paraId="2D319ADB" w14:textId="77777777" w:rsidR="00281C73" w:rsidRPr="002C4D2B" w:rsidRDefault="00281C73" w:rsidP="00281C73">
      <w:pPr>
        <w:pStyle w:val="SDStext"/>
        <w:widowControl/>
        <w:ind w:left="1133"/>
        <w:rPr>
          <w:lang w:val="en-US"/>
        </w:rPr>
      </w:pPr>
      <w:r>
        <w:t>Centre antipoison - Polyclinique A. Gemelli, Université catholique du Sacré-Cœur - Rome - Tél. 06/3054343</w:t>
      </w:r>
    </w:p>
    <w:p w14:paraId="630E8E09" w14:textId="77777777" w:rsidR="00281C73" w:rsidRPr="002C4D2B" w:rsidRDefault="00281C73" w:rsidP="00281C73">
      <w:pPr>
        <w:pStyle w:val="SDStext"/>
        <w:widowControl/>
        <w:ind w:left="1133"/>
        <w:rPr>
          <w:lang w:val="en-US"/>
        </w:rPr>
      </w:pPr>
      <w:r>
        <w:t>Centre antipoison - Institut d’anesthésiologie et de réanimation, Université La Sapienza de Rome - Tél. 06/49970698</w:t>
      </w:r>
    </w:p>
    <w:p w14:paraId="406BDE3D" w14:textId="77777777" w:rsidR="00281C73" w:rsidRPr="002C4D2B" w:rsidRDefault="00281C73" w:rsidP="00281C73">
      <w:pPr>
        <w:pStyle w:val="SDStext"/>
        <w:widowControl/>
        <w:ind w:left="1133"/>
        <w:rPr>
          <w:lang w:val="en-US"/>
        </w:rPr>
      </w:pPr>
      <w:r>
        <w:t>Centre antipoison - Centre national d’information toxicologique, Fondation S. Maugeri, Clinique du travail et de réadaptation - Pavie - Tél. 0382/24444</w:t>
      </w:r>
    </w:p>
    <w:p w14:paraId="0539A461" w14:textId="77777777" w:rsidR="00274771" w:rsidRPr="002C4D2B" w:rsidRDefault="00274771">
      <w:pPr>
        <w:pStyle w:val="SDStext"/>
        <w:widowControl/>
        <w:ind w:left="1133"/>
        <w:rPr>
          <w:lang w:val="en-US"/>
        </w:rPr>
      </w:pPr>
    </w:p>
    <w:p w14:paraId="0F63C507" w14:textId="77777777" w:rsidR="00274771" w:rsidRPr="002C4D2B" w:rsidRDefault="00EA7600">
      <w:pPr>
        <w:pStyle w:val="Sectiontitle"/>
        <w:widowControl/>
        <w:rPr>
          <w:lang w:val="en-US"/>
        </w:rPr>
      </w:pPr>
      <w:r>
        <mc:AlternateContent>
          <mc:Choice Requires="wps">
            <w:drawing>
              <wp:anchor distT="0" distB="0" distL="114300" distR="114300" simplePos="0" relativeHeight="251650560" behindDoc="1" locked="0" layoutInCell="0" allowOverlap="1" wp14:anchorId="5D631CAF" wp14:editId="3E504722">
                <wp:simplePos x="0" y="0"/>
                <wp:positionH relativeFrom="column">
                  <wp:posOffset>-35560</wp:posOffset>
                </wp:positionH>
                <wp:positionV relativeFrom="paragraph">
                  <wp:posOffset>0</wp:posOffset>
                </wp:positionV>
                <wp:extent cx="6065520" cy="635"/>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1CEF8"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" o:allowincell="f" strokeweight=".25pt"/>
            </w:pict>
          </mc:Fallback>
        </mc:AlternateContent>
      </w:r>
      <w:r w:rsidR="00274771" w:rsidRPr="002C4D2B">
        <w:rPr>
          <w:lang w:val="en-US"/>
        </w:rPr>
        <w:t>SECTION 2 : Identification des dangers</w:t>
      </w:r>
    </w:p>
    <w:p w14:paraId="018A6255" w14:textId="77777777" w:rsidR="00274771" w:rsidRPr="002C4D2B" w:rsidRDefault="00274771">
      <w:pPr>
        <w:pStyle w:val="SDStext"/>
        <w:widowControl/>
        <w:ind w:left="566"/>
        <w:rPr>
          <w:lang w:val="en-US"/>
        </w:rPr>
      </w:pPr>
      <w:r>
        <w:t>2.1. Classification de la substance ou du mélange</w:t>
      </w:r>
    </w:p>
    <w:p w14:paraId="34EB009D" w14:textId="77777777" w:rsidR="00274771" w:rsidRPr="002C4D2B" w:rsidRDefault="00274771">
      <w:pPr>
        <w:pStyle w:val="SDStext"/>
        <w:widowControl/>
        <w:ind w:left="566"/>
        <w:rPr>
          <w:lang w:val="en-US"/>
        </w:rPr>
      </w:pPr>
      <w:r>
        <w:t>Critères du règlement CE 1272/2008 (CLP) :</w:t>
      </w:r>
    </w:p>
    <w:p w14:paraId="3683678B" w14:textId="77777777" w:rsidR="00274771" w:rsidRPr="002C4D2B" w:rsidRDefault="00EA7600">
      <w:pPr>
        <w:pStyle w:val="SDStext"/>
        <w:widowControl/>
        <w:ind w:left="1133"/>
        <w:rPr>
          <w:lang w:val="en-US"/>
        </w:rPr>
      </w:pPr>
      <w:r>
        <w:rPr>
          <w:color w:val="auto"/>
          <w:sz w:val="24"/>
          <w:szCs w:val="24"/>
        </w:rPr>
        <w:drawing>
          <wp:inline distT="0" distB="0" distL="0" distR="0" wp14:anchorId="28C5A9DC" wp14:editId="421233D7">
            <wp:extent cx="180975" cy="180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74771" w:rsidRPr="002C4D2B">
        <w:rPr>
          <w:lang w:val="en-US"/>
        </w:rPr>
        <w:t xml:space="preserve">  Danger, Aerosols 1, Aérosol extrêmement inflammable. Récipient sous pression : peut éclater sous l’effet de la chaleur.</w:t>
      </w:r>
      <w:r w:rsidR="00274771" w:rsidRPr="002C4D2B">
        <w:rPr>
          <w:lang w:val="en-US"/>
        </w:rPr>
      </w:r>
    </w:p>
    <w:p w14:paraId="6A282309" w14:textId="77777777" w:rsidR="00274771" w:rsidRPr="002C4D2B" w:rsidRDefault="00EA7600">
      <w:pPr>
        <w:pStyle w:val="SDStext"/>
        <w:widowControl/>
        <w:ind w:left="1133"/>
        <w:rPr>
          <w:lang w:val="en-US"/>
        </w:rPr>
      </w:pPr>
      <w:r>
        <w:rPr>
          <w:color w:val="auto"/>
          <w:sz w:val="24"/>
          <w:szCs w:val="24"/>
        </w:rPr>
        <w:drawing>
          <wp:inline distT="0" distB="0" distL="0" distR="0" wp14:anchorId="4F5B8D8E" wp14:editId="0652613F">
            <wp:extent cx="180975" cy="1809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74771" w:rsidRPr="002C4D2B">
        <w:rPr>
          <w:lang w:val="en-US"/>
        </w:rPr>
        <w:t xml:space="preserve">  Attention, Eye Irrit. 2, Provoque une sévère irritation des yeux.</w:t>
      </w:r>
      <w:r w:rsidR="00274771" w:rsidRPr="002C4D2B">
        <w:rPr>
          <w:lang w:val="en-US"/>
        </w:rPr>
      </w:r>
    </w:p>
    <w:p w14:paraId="20D50935" w14:textId="77777777" w:rsidR="00274771" w:rsidRPr="002C4D2B" w:rsidRDefault="00EA7600">
      <w:pPr>
        <w:pStyle w:val="SDStext"/>
        <w:widowControl/>
        <w:ind w:left="1133"/>
        <w:rPr>
          <w:lang w:val="en-US"/>
        </w:rPr>
      </w:pPr>
      <w:r>
        <w:rPr>
          <w:color w:val="auto"/>
          <w:sz w:val="24"/>
          <w:szCs w:val="24"/>
        </w:rPr>
        <w:lastRenderedPageBreak/>
        <w:drawing>
          <wp:inline distT="0" distB="0" distL="0" distR="0" wp14:anchorId="21696D81" wp14:editId="649AA981">
            <wp:extent cx="180975" cy="1809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74771" w:rsidRPr="002C4D2B">
        <w:rPr>
          <w:lang w:val="en-US"/>
        </w:rPr>
        <w:t xml:space="preserve">  Attention, STOT SE 3, Peut provoquer somnolence ou vertiges.</w:t>
      </w:r>
      <w:r w:rsidR="00274771" w:rsidRPr="002C4D2B">
        <w:rPr>
          <w:lang w:val="en-US"/>
        </w:rPr>
      </w:r>
    </w:p>
    <w:p w14:paraId="27CEF02D" w14:textId="77777777" w:rsidR="00274771" w:rsidRPr="002C4D2B" w:rsidRDefault="00274771">
      <w:pPr>
        <w:pStyle w:val="SDStext"/>
        <w:widowControl/>
        <w:ind w:left="566"/>
        <w:rPr>
          <w:lang w:val="en-US"/>
        </w:rPr>
      </w:pPr>
      <w:r>
        <w:t>Effets physicochimiques nocifs sur la santé humaine et l’environnement :</w:t>
      </w:r>
    </w:p>
    <w:p w14:paraId="48E0B17C" w14:textId="77777777" w:rsidR="00274771" w:rsidRPr="002C4D2B" w:rsidRDefault="00274771">
      <w:pPr>
        <w:pStyle w:val="SDStext"/>
        <w:widowControl/>
        <w:ind w:left="1133"/>
        <w:rPr>
          <w:lang w:val="en-US"/>
        </w:rPr>
      </w:pPr>
      <w:r>
        <w:t>Aucun autre danger</w:t>
      </w:r>
    </w:p>
    <w:p w14:paraId="6F05B24B" w14:textId="77777777" w:rsidR="00274771" w:rsidRPr="002C4D2B" w:rsidRDefault="00274771">
      <w:pPr>
        <w:pStyle w:val="SDStext"/>
        <w:widowControl/>
        <w:ind w:left="566"/>
        <w:rPr>
          <w:lang w:val="en-US"/>
        </w:rPr>
      </w:pPr>
      <w:r>
        <w:t>2.2. Éléments d’étiquetage</w:t>
      </w:r>
    </w:p>
    <w:p w14:paraId="4895D5B1" w14:textId="77777777" w:rsidR="00274771" w:rsidRPr="002C4D2B" w:rsidRDefault="00274771">
      <w:pPr>
        <w:pStyle w:val="SDStext"/>
        <w:widowControl/>
        <w:ind w:left="566"/>
        <w:rPr>
          <w:lang w:val="en-US"/>
        </w:rPr>
      </w:pPr>
      <w:r>
        <w:t>Pictogrammes de danger :</w:t>
      </w:r>
    </w:p>
    <w:p w14:paraId="3733B740" w14:textId="77777777" w:rsidR="00274771" w:rsidRPr="002C4D2B" w:rsidRDefault="00EA7600">
      <w:pPr>
        <w:pStyle w:val="SDStext"/>
        <w:widowControl/>
        <w:ind w:left="1133"/>
        <w:rPr>
          <w:lang w:val="en-US"/>
        </w:rPr>
      </w:pPr>
      <w:r>
        <w:rPr>
          <w:color w:val="auto"/>
          <w:sz w:val="24"/>
          <w:szCs w:val="24"/>
        </w:rPr>
        <w:drawing>
          <wp:inline distT="0" distB="0" distL="0" distR="0" wp14:anchorId="1C65AA2F" wp14:editId="033E8B45">
            <wp:extent cx="542925" cy="5429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color w:val="auto"/>
          <w:sz w:val="24"/>
          <w:szCs w:val="24"/>
        </w:rPr>
        <w:drawing>
          <wp:inline distT="0" distB="0" distL="0" distR="0" wp14:anchorId="11718067" wp14:editId="4A57BAF3">
            <wp:extent cx="542925" cy="5429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274771" w:rsidRPr="002C4D2B">
        <w:rPr>
          <w:lang w:val="en-US"/>
        </w:rPr>
        <w:t xml:space="preserve"> </w:t>
      </w:r>
    </w:p>
    <w:p w14:paraId="5609E4D2" w14:textId="77777777" w:rsidR="00274771" w:rsidRPr="002C4D2B" w:rsidRDefault="00274771">
      <w:pPr>
        <w:pStyle w:val="SDStext"/>
        <w:widowControl/>
        <w:ind w:left="1133"/>
        <w:rPr>
          <w:lang w:val="en-US"/>
        </w:rPr>
      </w:pPr>
    </w:p>
    <w:p w14:paraId="549C2C92" w14:textId="77777777" w:rsidR="00274771" w:rsidRPr="002C4D2B" w:rsidRDefault="00274771">
      <w:pPr>
        <w:pStyle w:val="SDStext"/>
        <w:widowControl/>
        <w:ind w:left="1133"/>
        <w:rPr>
          <w:lang w:val="en-US"/>
        </w:rPr>
      </w:pPr>
      <w:r>
        <w:t>Danger</w:t>
      </w:r>
    </w:p>
    <w:p w14:paraId="0666C68B" w14:textId="77777777" w:rsidR="00281C73" w:rsidRPr="002C4D2B" w:rsidRDefault="00274771" w:rsidP="00281C73">
      <w:pPr>
        <w:pStyle w:val="SDStext"/>
        <w:widowControl/>
        <w:ind w:left="566"/>
        <w:rPr>
          <w:lang w:val="en-US"/>
        </w:rPr>
      </w:pPr>
      <w:r>
        <w:t>Mentions de danger :</w:t>
      </w:r>
    </w:p>
    <w:p w14:paraId="2FDB6C62" w14:textId="77777777" w:rsidR="00274771" w:rsidRPr="002C4D2B" w:rsidRDefault="00274771">
      <w:pPr>
        <w:pStyle w:val="SDStext"/>
        <w:widowControl/>
        <w:ind w:left="1133"/>
        <w:rPr>
          <w:lang w:val="en-US"/>
        </w:rPr>
      </w:pPr>
      <w:r>
        <w:t>H222, H229 Aérosol extrêmement inflammable. Récipient sous pression : peut éclater sous l’effet de la chaleur.</w:t>
      </w:r>
    </w:p>
    <w:p w14:paraId="0FD9B3B0" w14:textId="77777777" w:rsidR="00274771" w:rsidRPr="002C4D2B" w:rsidRDefault="00274771">
      <w:pPr>
        <w:pStyle w:val="SDStext"/>
        <w:widowControl/>
        <w:ind w:left="1133"/>
        <w:rPr>
          <w:lang w:val="en-US"/>
        </w:rPr>
      </w:pPr>
      <w:r>
        <w:t>H319 Provoque une sévère irritation des yeux.</w:t>
      </w:r>
    </w:p>
    <w:p w14:paraId="2DCF1060" w14:textId="77777777" w:rsidR="00274771" w:rsidRPr="002C4D2B" w:rsidRDefault="00274771">
      <w:pPr>
        <w:pStyle w:val="SDStext"/>
        <w:widowControl/>
        <w:ind w:left="1133"/>
        <w:rPr>
          <w:lang w:val="en-US"/>
        </w:rPr>
      </w:pPr>
      <w:r>
        <w:t>H336 Peut provoquer somnolence ou vertiges.</w:t>
      </w:r>
    </w:p>
    <w:p w14:paraId="7BB3F782" w14:textId="77777777" w:rsidR="00274771" w:rsidRPr="002C4D2B" w:rsidRDefault="00274771">
      <w:pPr>
        <w:pStyle w:val="SDStext"/>
        <w:widowControl/>
        <w:ind w:left="566"/>
        <w:rPr>
          <w:lang w:val="en-US"/>
        </w:rPr>
      </w:pPr>
      <w:r>
        <w:t>Conseils de prudence :</w:t>
      </w:r>
    </w:p>
    <w:p w14:paraId="422B1EC0" w14:textId="77777777" w:rsidR="00281C73" w:rsidRPr="002C4D2B" w:rsidRDefault="00281C73" w:rsidP="00281C73">
      <w:pPr>
        <w:pStyle w:val="TestoSDS"/>
        <w:widowControl/>
        <w:ind w:left="1133"/>
        <w:rPr>
          <w:lang w:val="en-US"/>
        </w:rPr>
      </w:pPr>
      <w:r>
        <w:t>P102 Tenir hors de portée des enfants.</w:t>
      </w:r>
    </w:p>
    <w:p w14:paraId="0B479494" w14:textId="77777777" w:rsidR="00274771" w:rsidRPr="002C4D2B" w:rsidRDefault="00274771">
      <w:pPr>
        <w:pStyle w:val="SDStext"/>
        <w:widowControl/>
        <w:ind w:left="1133"/>
        <w:rPr>
          <w:lang w:val="en-US"/>
        </w:rPr>
      </w:pPr>
      <w:r>
        <w:t>P210 Tenir à l’écart de la chaleur, des surfaces chaudes, des étincelles, des flammes nues et de toute autre source d’ignition. Ne pas fumer.</w:t>
      </w:r>
    </w:p>
    <w:p w14:paraId="541BA9A9" w14:textId="77777777" w:rsidR="00274771" w:rsidRPr="002C4D2B" w:rsidRDefault="00274771">
      <w:pPr>
        <w:pStyle w:val="SDStext"/>
        <w:widowControl/>
        <w:ind w:left="1133"/>
        <w:rPr>
          <w:lang w:val="en-US"/>
        </w:rPr>
      </w:pPr>
      <w:r>
        <w:t>P211 Ne pas vaporiser sur une flamme nue ou sur toute autre source d’ignition.</w:t>
      </w:r>
    </w:p>
    <w:p w14:paraId="4448A591" w14:textId="77777777" w:rsidR="00274771" w:rsidRPr="002C4D2B" w:rsidRDefault="00274771">
      <w:pPr>
        <w:pStyle w:val="SDStext"/>
        <w:widowControl/>
        <w:ind w:left="1133"/>
        <w:rPr>
          <w:lang w:val="en-US"/>
        </w:rPr>
      </w:pPr>
      <w:r>
        <w:t>P251 Ne pas perforer ni brûler, même après usage.</w:t>
      </w:r>
    </w:p>
    <w:p w14:paraId="3204781B" w14:textId="77777777" w:rsidR="00274771" w:rsidRPr="002C4D2B" w:rsidRDefault="00281C73">
      <w:pPr>
        <w:pStyle w:val="SDStext"/>
        <w:widowControl/>
        <w:ind w:left="1133"/>
        <w:rPr>
          <w:lang w:val="en-US"/>
        </w:rPr>
      </w:pPr>
      <w:r>
        <w:t>P261 Éviter de respirer les aérosols.</w:t>
      </w:r>
    </w:p>
    <w:p w14:paraId="708061C6" w14:textId="77777777" w:rsidR="00274771" w:rsidRPr="002C4D2B" w:rsidRDefault="00274771">
      <w:pPr>
        <w:pStyle w:val="SDStext"/>
        <w:widowControl/>
        <w:ind w:left="1133"/>
        <w:rPr>
          <w:lang w:val="en-US"/>
        </w:rPr>
      </w:pPr>
      <w:r>
        <w:t>P271 Utiliser seulement en plein air ou dans un endroit bien ventilé.</w:t>
      </w:r>
    </w:p>
    <w:p w14:paraId="0833CB17" w14:textId="77777777" w:rsidR="00274771" w:rsidRPr="002C4D2B" w:rsidRDefault="00274771">
      <w:pPr>
        <w:pStyle w:val="SDStext"/>
        <w:widowControl/>
        <w:ind w:left="1133"/>
        <w:rPr>
          <w:lang w:val="en-US"/>
        </w:rPr>
      </w:pPr>
      <w:r>
        <w:t>P280 Porter des gants de protection/des vêtements de protection/un équipement de protection des yeux/du visage/des protections auditives.</w:t>
      </w:r>
    </w:p>
    <w:p w14:paraId="4602E308" w14:textId="77777777" w:rsidR="00274771" w:rsidRPr="002C4D2B" w:rsidRDefault="00274771">
      <w:pPr>
        <w:pStyle w:val="SDStext"/>
        <w:widowControl/>
        <w:ind w:left="1133"/>
        <w:rPr>
          <w:lang w:val="en-US"/>
        </w:rPr>
      </w:pPr>
      <w:r>
        <w:t>P304+P340 EN CAS D’INHALATION : transporter la personne à l’extérieur et la maintenir dans une position où elle peut confortablement respirer.</w:t>
      </w:r>
    </w:p>
    <w:p w14:paraId="77CC9427" w14:textId="77777777" w:rsidR="00274771" w:rsidRPr="002C4D2B" w:rsidRDefault="00274771">
      <w:pPr>
        <w:pStyle w:val="SDStext"/>
        <w:widowControl/>
        <w:ind w:left="1133"/>
        <w:rPr>
          <w:lang w:val="en-US"/>
        </w:rPr>
      </w:pPr>
      <w:r>
        <w:t>P305+P351+P338 EN CAS DE CONTACT AVEC LES YEUX : rincer avec précaution à l’eau pendant plusieurs minutes. Enlever les lentilles de contact si la victime en porte et si elles peuvent être facilement enlevées. Continuer à rincer.</w:t>
      </w:r>
    </w:p>
    <w:p w14:paraId="7E5C8BBC" w14:textId="77777777" w:rsidR="00274771" w:rsidRPr="002C4D2B" w:rsidRDefault="00274771">
      <w:pPr>
        <w:pStyle w:val="SDStext"/>
        <w:widowControl/>
        <w:ind w:left="1133"/>
        <w:rPr>
          <w:lang w:val="en-US"/>
        </w:rPr>
      </w:pPr>
      <w:r>
        <w:t>P312 Appeler un CENTRE ANTIPOISON/un médecin en cas de malaise.</w:t>
      </w:r>
    </w:p>
    <w:p w14:paraId="3F6996F8" w14:textId="77777777" w:rsidR="00274771" w:rsidRPr="002C4D2B" w:rsidRDefault="00274771">
      <w:pPr>
        <w:pStyle w:val="SDStext"/>
        <w:widowControl/>
        <w:ind w:left="1133"/>
        <w:rPr>
          <w:lang w:val="en-US"/>
        </w:rPr>
      </w:pPr>
      <w:r>
        <w:t>P337+P313 Si l’irritation oculaire persiste : consulter un médecin.</w:t>
      </w:r>
    </w:p>
    <w:p w14:paraId="50D182AE" w14:textId="77777777" w:rsidR="00274771" w:rsidRPr="002C4D2B" w:rsidRDefault="00274771">
      <w:pPr>
        <w:pStyle w:val="SDStext"/>
        <w:widowControl/>
        <w:ind w:left="1133"/>
        <w:rPr>
          <w:lang w:val="en-US"/>
        </w:rPr>
      </w:pPr>
      <w:r>
        <w:t>P403+P233 Maintenir le récipient fermé de manière étanche et le conserver dans un endroit bien ventilé.</w:t>
      </w:r>
    </w:p>
    <w:p w14:paraId="108F3E35" w14:textId="77777777" w:rsidR="00274771" w:rsidRPr="002C4D2B" w:rsidRDefault="00274771">
      <w:pPr>
        <w:pStyle w:val="SDStext"/>
        <w:widowControl/>
        <w:ind w:left="1133"/>
        <w:rPr>
          <w:lang w:val="en-US"/>
        </w:rPr>
      </w:pPr>
      <w:r>
        <w:t>P405 Garder sous clé.</w:t>
      </w:r>
    </w:p>
    <w:p w14:paraId="6252276E" w14:textId="77777777" w:rsidR="00274771" w:rsidRPr="002C4D2B" w:rsidRDefault="00274771">
      <w:pPr>
        <w:pStyle w:val="SDStext"/>
        <w:widowControl/>
        <w:ind w:left="1133"/>
        <w:rPr>
          <w:lang w:val="en-US"/>
        </w:rPr>
      </w:pPr>
      <w:r>
        <w:t>P410+P412 Protéger du rayonnement solaire. Ne pas exposer à une température supérieure à 50 °C/122 °F.</w:t>
      </w:r>
    </w:p>
    <w:p w14:paraId="04BF9F4D" w14:textId="77777777" w:rsidR="00274771" w:rsidRPr="002C4D2B" w:rsidRDefault="00274771">
      <w:pPr>
        <w:pStyle w:val="SDStext"/>
        <w:widowControl/>
        <w:ind w:left="1133"/>
        <w:rPr>
          <w:lang w:val="en-US"/>
        </w:rPr>
      </w:pPr>
      <w:r>
        <w:t>P501 Éliminer le contenu/récipient conformément à la réglementation.</w:t>
      </w:r>
    </w:p>
    <w:p w14:paraId="464EF582" w14:textId="77777777" w:rsidR="00274771" w:rsidRPr="002C4D2B" w:rsidRDefault="00274771">
      <w:pPr>
        <w:pStyle w:val="SDStext"/>
        <w:widowControl/>
        <w:ind w:left="566"/>
        <w:rPr>
          <w:lang w:val="en-US"/>
        </w:rPr>
      </w:pPr>
      <w:r>
        <w:t>Dispositions particulières :</w:t>
      </w:r>
    </w:p>
    <w:p w14:paraId="5E2D6054" w14:textId="77777777" w:rsidR="00274771" w:rsidRPr="002C4D2B" w:rsidRDefault="00274771">
      <w:pPr>
        <w:pStyle w:val="SDStext"/>
        <w:widowControl/>
        <w:ind w:left="1133"/>
        <w:rPr>
          <w:lang w:val="en-US"/>
        </w:rPr>
      </w:pPr>
      <w:r>
        <w:t>Aucune</w:t>
      </w:r>
    </w:p>
    <w:p w14:paraId="0DD56A22" w14:textId="77777777" w:rsidR="00274771" w:rsidRPr="002C4D2B" w:rsidRDefault="00274771">
      <w:pPr>
        <w:pStyle w:val="SDStext"/>
        <w:widowControl/>
        <w:ind w:left="566"/>
        <w:rPr>
          <w:lang w:val="en-US"/>
        </w:rPr>
      </w:pPr>
      <w:r>
        <w:t>Contient :</w:t>
      </w:r>
    </w:p>
    <w:p w14:paraId="4F55583E" w14:textId="77777777" w:rsidR="00274771" w:rsidRPr="002C4D2B" w:rsidRDefault="00274771">
      <w:pPr>
        <w:pStyle w:val="SDStext"/>
        <w:widowControl/>
        <w:ind w:left="1133"/>
        <w:rPr>
          <w:lang w:val="en-US"/>
        </w:rPr>
      </w:pPr>
      <w:r>
        <w:t>acétone ; 2-propanone ; propanone</w:t>
      </w:r>
    </w:p>
    <w:p w14:paraId="18271DB7" w14:textId="77777777" w:rsidR="00274771" w:rsidRPr="002C4D2B" w:rsidRDefault="00274771">
      <w:pPr>
        <w:pStyle w:val="SDStext"/>
        <w:widowControl/>
        <w:ind w:left="566"/>
        <w:rPr>
          <w:lang w:val="en-US"/>
        </w:rPr>
      </w:pPr>
      <w:r>
        <w:t>Dispositions particulières selon l’annexe XVII de REACH et ses modifications ultérieures :</w:t>
      </w:r>
    </w:p>
    <w:p w14:paraId="2FABAB21" w14:textId="77777777" w:rsidR="00274771" w:rsidRPr="002C4D2B" w:rsidRDefault="00274771">
      <w:pPr>
        <w:pStyle w:val="SDStext"/>
        <w:widowControl/>
        <w:ind w:left="1133"/>
        <w:rPr>
          <w:lang w:val="en-US"/>
        </w:rPr>
      </w:pPr>
      <w:r>
        <w:t>Aucune</w:t>
      </w:r>
    </w:p>
    <w:p w14:paraId="67D0ECEC" w14:textId="77777777" w:rsidR="00274771" w:rsidRPr="002C4D2B" w:rsidRDefault="00274771">
      <w:pPr>
        <w:pStyle w:val="SDStext"/>
        <w:widowControl/>
        <w:ind w:left="566"/>
        <w:rPr>
          <w:lang w:val="en-US"/>
        </w:rPr>
      </w:pPr>
    </w:p>
    <w:p w14:paraId="551E1511" w14:textId="77777777" w:rsidR="00274771" w:rsidRPr="002C4D2B" w:rsidRDefault="00274771">
      <w:pPr>
        <w:pStyle w:val="SDStext"/>
        <w:widowControl/>
        <w:ind w:left="566"/>
        <w:rPr>
          <w:lang w:val="en-US"/>
        </w:rPr>
      </w:pPr>
      <w:r>
        <w:t>2.3. Autres dangers</w:t>
      </w:r>
    </w:p>
    <w:p w14:paraId="7E1B0643" w14:textId="77777777" w:rsidR="00274771" w:rsidRPr="002C4D2B" w:rsidRDefault="00274771">
      <w:pPr>
        <w:pStyle w:val="SDStext"/>
        <w:widowControl/>
        <w:ind w:left="1133"/>
        <w:rPr>
          <w:lang w:val="en-US"/>
        </w:rPr>
      </w:pPr>
      <w:r>
        <w:t>Aucune substance PBT, vPvB ou perturbatrice endocrinienne présente à des concentrations &gt;= 0,1 %</w:t>
      </w:r>
    </w:p>
    <w:p w14:paraId="6DCC376A" w14:textId="77777777" w:rsidR="00274771" w:rsidRPr="002C4D2B" w:rsidRDefault="00274771">
      <w:pPr>
        <w:pStyle w:val="SDStext"/>
        <w:widowControl/>
        <w:ind w:left="566"/>
        <w:rPr>
          <w:lang w:val="en-US"/>
        </w:rPr>
      </w:pPr>
      <w:r>
        <w:t>Autres dangers :</w:t>
      </w:r>
    </w:p>
    <w:p w14:paraId="4E76E01B" w14:textId="77777777" w:rsidR="00274771" w:rsidRPr="002C4D2B" w:rsidRDefault="00274771">
      <w:pPr>
        <w:pStyle w:val="SDStext"/>
        <w:widowControl/>
        <w:ind w:left="1133"/>
        <w:rPr>
          <w:lang w:val="en-US"/>
        </w:rPr>
      </w:pPr>
      <w:r>
        <w:t>Aucun autre danger</w:t>
      </w:r>
    </w:p>
    <w:p w14:paraId="41805CBA" w14:textId="77777777" w:rsidR="00274771" w:rsidRPr="002C4D2B" w:rsidRDefault="00274771">
      <w:pPr>
        <w:pStyle w:val="SDStext"/>
        <w:widowControl/>
        <w:ind w:left="566"/>
        <w:rPr>
          <w:lang w:val="en-US"/>
        </w:rPr>
      </w:pPr>
    </w:p>
    <w:p w14:paraId="74721B24" w14:textId="77777777" w:rsidR="00274771" w:rsidRPr="002C4D2B" w:rsidRDefault="00EA7600">
      <w:pPr>
        <w:pStyle w:val="Sectiontitle"/>
        <w:widowControl/>
        <w:rPr>
          <w:lang w:val="en-US"/>
        </w:rPr>
      </w:pPr>
      <w:r>
        <mc:AlternateContent>
          <mc:Choice Requires="wps">
            <w:drawing>
              <wp:anchor distT="0" distB="0" distL="114300" distR="114300" simplePos="0" relativeHeight="251651584" behindDoc="1" locked="0" layoutInCell="0" allowOverlap="1" wp14:anchorId="22ABCA5B" wp14:editId="337EC2E0">
                <wp:simplePos x="0" y="0"/>
                <wp:positionH relativeFrom="column">
                  <wp:posOffset>-35560</wp:posOffset>
                </wp:positionH>
                <wp:positionV relativeFrom="paragraph">
                  <wp:posOffset>0</wp:posOffset>
                </wp:positionV>
                <wp:extent cx="6065520" cy="635"/>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768773"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CI8KvjHAQAAeg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3 : Composition/informations sur les composants</w:t>
      </w:r>
    </w:p>
    <w:p w14:paraId="58883088" w14:textId="77777777" w:rsidR="00274771" w:rsidRPr="002C4D2B" w:rsidRDefault="00274771">
      <w:pPr>
        <w:pStyle w:val="SDStext"/>
        <w:widowControl/>
        <w:ind w:left="566"/>
        <w:rPr>
          <w:lang w:val="en-US"/>
        </w:rPr>
      </w:pPr>
      <w:r>
        <w:t>3.1. Substances</w:t>
      </w:r>
    </w:p>
    <w:p w14:paraId="7BBAC65E" w14:textId="77777777" w:rsidR="00274771" w:rsidRPr="002C4D2B" w:rsidRDefault="00274771">
      <w:pPr>
        <w:pStyle w:val="SDStext"/>
        <w:widowControl/>
        <w:ind w:left="1133"/>
        <w:rPr>
          <w:lang w:val="en-US"/>
        </w:rPr>
      </w:pPr>
      <w:r>
        <w:t>NA</w:t>
      </w:r>
    </w:p>
    <w:p w14:paraId="4758F2BE" w14:textId="77777777" w:rsidR="00274771" w:rsidRPr="002C4D2B" w:rsidRDefault="00274771">
      <w:pPr>
        <w:pStyle w:val="SDStext"/>
        <w:widowControl/>
        <w:ind w:left="566"/>
        <w:rPr>
          <w:lang w:val="en-US"/>
        </w:rPr>
      </w:pPr>
      <w:r>
        <w:t>3.2. Mélanges</w:t>
      </w:r>
    </w:p>
    <w:p w14:paraId="3A6540C2" w14:textId="77777777" w:rsidR="00274771" w:rsidRPr="002C4D2B" w:rsidRDefault="00274771">
      <w:pPr>
        <w:pStyle w:val="SDStext"/>
        <w:widowControl/>
        <w:ind w:left="1133"/>
        <w:rPr>
          <w:lang w:val="en-US"/>
        </w:rPr>
      </w:pPr>
      <w:r>
        <w:t>Composants dangereux selon le règlement CLP et classification correspondante :</w:t>
      </w:r>
    </w:p>
    <w:p w14:paraId="5972353B" w14:textId="77777777" w:rsidR="00274771" w:rsidRPr="002C4D2B" w:rsidRDefault="00274771">
      <w:pPr>
        <w:pStyle w:val="SDStext"/>
        <w:widowControl/>
        <w:ind w:left="566"/>
        <w:rPr>
          <w:lang w:val="en-US"/>
        </w:rPr>
      </w:pPr>
    </w:p>
    <w:tbl>
      <w:tblPr>
        <w:tblW w:w="0" w:type="auto"/>
        <w:tblInd w:w="566" w:type="dxa"/>
        <w:tblBorders>
          <w:top w:val="single" w:sz="14" w:space="0" w:color="000000"/>
          <w:left w:val="single" w:sz="14" w:space="0" w:color="000000"/>
          <w:bottom w:val="single" w:sz="14" w:space="0" w:color="000000"/>
          <w:right w:val="single" w:sz="14" w:space="0" w:color="000000"/>
        </w:tblBorders>
        <w:tblLayout w:type="fixed"/>
        <w:tblCellMar>
          <w:left w:w="68" w:type="dxa"/>
          <w:right w:w="68" w:type="dxa"/>
        </w:tblCellMar>
        <w:tblLook w:val="0000" w:firstRow="0" w:lastRow="0" w:firstColumn="0" w:lastColumn="0" w:noHBand="0" w:noVBand="0"/>
      </w:tblPr>
      <w:tblGrid>
        <w:gridCol w:w="964"/>
        <w:gridCol w:w="2211"/>
        <w:gridCol w:w="2551"/>
        <w:gridCol w:w="3232"/>
      </w:tblGrid>
      <w:tr w:rsidR="00274771" w14:paraId="5C3191DC" w14:textId="77777777">
        <w:tc>
          <w:tcPr>
            <w:tcW w:w="964" w:type="dxa"/>
            <w:tcBorders>
              <w:top w:val="single" w:sz="6" w:space="0" w:color="000000"/>
              <w:left w:val="single" w:sz="6" w:space="0" w:color="000000"/>
              <w:bottom w:val="single" w:sz="6" w:space="0" w:color="000000"/>
              <w:right w:val="single" w:sz="6" w:space="0" w:color="000000"/>
            </w:tcBorders>
          </w:tcPr>
          <w:p w14:paraId="0D7101B6" w14:textId="77777777" w:rsidR="00274771" w:rsidRDefault="00274771">
            <w:pPr>
              <w:pStyle w:val="Reportheader"/>
              <w:widowControl/>
              <w:rPr>
                <w:sz w:val="20"/>
                <w:szCs w:val="20"/>
              </w:rPr>
            </w:pPr>
            <w:r>
              <w:t>Qté</w:t>
            </w:r>
          </w:p>
        </w:tc>
        <w:tc>
          <w:tcPr>
            <w:tcW w:w="2211" w:type="dxa"/>
            <w:tcBorders>
              <w:top w:val="single" w:sz="6" w:space="0" w:color="000000"/>
              <w:left w:val="single" w:sz="6" w:space="0" w:color="000000"/>
              <w:bottom w:val="single" w:sz="6" w:space="0" w:color="000000"/>
              <w:right w:val="single" w:sz="6" w:space="0" w:color="000000"/>
            </w:tcBorders>
          </w:tcPr>
          <w:p w14:paraId="435B5E76" w14:textId="77777777" w:rsidR="00274771" w:rsidRDefault="00274771">
            <w:pPr>
              <w:pStyle w:val="Reportheader"/>
              <w:widowControl/>
              <w:rPr>
                <w:sz w:val="20"/>
                <w:szCs w:val="20"/>
              </w:rPr>
            </w:pPr>
            <w:r>
              <w:t>Nom</w:t>
            </w:r>
          </w:p>
        </w:tc>
        <w:tc>
          <w:tcPr>
            <w:tcW w:w="2551" w:type="dxa"/>
            <w:tcBorders>
              <w:top w:val="single" w:sz="6" w:space="0" w:color="000000"/>
              <w:left w:val="single" w:sz="6" w:space="0" w:color="000000"/>
              <w:bottom w:val="single" w:sz="6" w:space="0" w:color="000000"/>
              <w:right w:val="single" w:sz="6" w:space="0" w:color="000000"/>
            </w:tcBorders>
          </w:tcPr>
          <w:p w14:paraId="2343A950" w14:textId="77777777" w:rsidR="00274771" w:rsidRDefault="00274771">
            <w:pPr>
              <w:pStyle w:val="Reportheader"/>
              <w:widowControl/>
              <w:rPr>
                <w:sz w:val="20"/>
                <w:szCs w:val="20"/>
              </w:rPr>
            </w:pPr>
            <w:r>
              <w:t>Numéro d’identification</w:t>
            </w:r>
          </w:p>
        </w:tc>
        <w:tc>
          <w:tcPr>
            <w:tcW w:w="3232" w:type="dxa"/>
            <w:tcBorders>
              <w:top w:val="single" w:sz="6" w:space="0" w:color="000000"/>
              <w:left w:val="single" w:sz="6" w:space="0" w:color="000000"/>
              <w:bottom w:val="single" w:sz="6" w:space="0" w:color="000000"/>
              <w:right w:val="single" w:sz="6" w:space="0" w:color="000000"/>
            </w:tcBorders>
          </w:tcPr>
          <w:p w14:paraId="75C330BC" w14:textId="77777777" w:rsidR="00274771" w:rsidRDefault="00274771">
            <w:pPr>
              <w:pStyle w:val="Reportheader"/>
              <w:widowControl/>
              <w:rPr>
                <w:sz w:val="20"/>
                <w:szCs w:val="20"/>
              </w:rPr>
            </w:pPr>
            <w:r>
              <w:t>Classification</w:t>
            </w:r>
          </w:p>
        </w:tc>
      </w:tr>
      <w:tr w:rsidR="002E3CAC" w14:paraId="27F54930" w14:textId="77777777">
        <w:tc>
          <w:tcPr>
            <w:tcW w:w="964" w:type="dxa"/>
            <w:tcBorders>
              <w:top w:val="single" w:sz="6" w:space="0" w:color="000000"/>
              <w:left w:val="single" w:sz="6" w:space="0" w:color="000000"/>
              <w:bottom w:val="single" w:sz="6" w:space="0" w:color="000000"/>
              <w:right w:val="single" w:sz="6" w:space="0" w:color="000000"/>
            </w:tcBorders>
          </w:tcPr>
          <w:p w14:paraId="74B57E9C" w14:textId="77777777" w:rsidR="002E3CAC" w:rsidRDefault="002E3CAC" w:rsidP="002E3CAC">
            <w:pPr>
              <w:pStyle w:val="ReportHeader0"/>
              <w:widowControl/>
              <w:rPr>
                <w:sz w:val="20"/>
                <w:szCs w:val="20"/>
              </w:rPr>
            </w:pPr>
            <w:r>
              <w:rPr>
                <w:sz w:val="20"/>
                <w:szCs w:val="20"/>
              </w:rPr>
              <w:lastRenderedPageBreak/>
              <w:t>&gt;= 70% - &lt; 80%</w:t>
            </w:r>
          </w:p>
        </w:tc>
        <w:tc>
          <w:tcPr>
            <w:tcW w:w="2211" w:type="dxa"/>
            <w:tcBorders>
              <w:top w:val="single" w:sz="6" w:space="0" w:color="000000"/>
              <w:left w:val="single" w:sz="6" w:space="0" w:color="000000"/>
              <w:bottom w:val="single" w:sz="6" w:space="0" w:color="000000"/>
              <w:right w:val="single" w:sz="6" w:space="0" w:color="000000"/>
            </w:tcBorders>
          </w:tcPr>
          <w:p w14:paraId="71C710C5" w14:textId="77777777" w:rsidR="002E3CAC" w:rsidRDefault="002E3CAC" w:rsidP="002E3CAC">
            <w:pPr>
              <w:pStyle w:val="ReportHeader0"/>
              <w:widowControl/>
              <w:rPr>
                <w:sz w:val="20"/>
                <w:szCs w:val="20"/>
              </w:rPr>
            </w:pPr>
            <w:r>
              <w:t>acétone ; 2-propanone ; propanone</w:t>
            </w:r>
          </w:p>
        </w:tc>
        <w:tc>
          <w:tcPr>
            <w:tcW w:w="2551" w:type="dxa"/>
            <w:tcBorders>
              <w:top w:val="single" w:sz="6" w:space="0" w:color="000000"/>
              <w:left w:val="single" w:sz="6" w:space="0" w:color="000000"/>
              <w:bottom w:val="single" w:sz="6" w:space="0" w:color="000000"/>
              <w:right w:val="single" w:sz="6" w:space="0" w:color="000000"/>
            </w:tcBorders>
          </w:tcPr>
          <w:tbl>
            <w:tblPr>
              <w:tblW w:w="0" w:type="dxa"/>
              <w:tblLayout w:type="fixed"/>
              <w:tblCellMar>
                <w:left w:w="0" w:type="dxa"/>
                <w:right w:w="0" w:type="dxa"/>
              </w:tblCellMar>
              <w:tblLook w:val="0000" w:firstRow="0" w:lastRow="0" w:firstColumn="0" w:lastColumn="0" w:noHBand="0" w:noVBand="0"/>
            </w:tblPr>
            <w:tblGrid>
              <w:gridCol w:w="1207"/>
              <w:gridCol w:w="1276"/>
            </w:tblGrid>
            <w:tr w:rsidR="002E3CAC" w14:paraId="6322721A" w14:textId="77777777">
              <w:tc>
                <w:tcPr>
                  <w:tcW w:w="1207" w:type="dxa"/>
                  <w:tcBorders>
                    <w:top w:val="nil"/>
                    <w:left w:val="nil"/>
                    <w:bottom w:val="nil"/>
                    <w:right w:val="nil"/>
                  </w:tcBorders>
                </w:tcPr>
                <w:p w14:paraId="7CDB3732" w14:textId="77777777" w:rsidR="002E3CAC" w:rsidRDefault="002E3CAC" w:rsidP="002E3CAC">
                  <w:pPr>
                    <w:pStyle w:val="Reportheader"/>
                    <w:widowControl/>
                    <w:rPr>
                      <w:sz w:val="20"/>
                      <w:szCs w:val="20"/>
                    </w:rPr>
                  </w:pPr>
                  <w:r>
                    <w:rPr>
                      <w:sz w:val="20"/>
                      <w:szCs w:val="20"/>
                    </w:rPr>
                    <w:t>Index Number:</w:t>
                  </w:r>
                </w:p>
              </w:tc>
              <w:tc>
                <w:tcPr>
                  <w:tcW w:w="1276" w:type="dxa"/>
                  <w:tcBorders>
                    <w:top w:val="nil"/>
                    <w:left w:val="nil"/>
                    <w:bottom w:val="nil"/>
                    <w:right w:val="nil"/>
                  </w:tcBorders>
                </w:tcPr>
                <w:p w14:paraId="00E16D15" w14:textId="77777777" w:rsidR="002E3CAC" w:rsidRDefault="002E3CAC" w:rsidP="002E3CAC">
                  <w:pPr>
                    <w:pStyle w:val="Reportheader"/>
                    <w:widowControl/>
                    <w:rPr>
                      <w:sz w:val="20"/>
                      <w:szCs w:val="20"/>
                    </w:rPr>
                  </w:pPr>
                  <w:r>
                    <w:rPr>
                      <w:sz w:val="20"/>
                      <w:szCs w:val="20"/>
                    </w:rPr>
                    <w:t>606-001-00-8</w:t>
                  </w:r>
                </w:p>
              </w:tc>
            </w:tr>
            <w:tr w:rsidR="002E3CAC" w14:paraId="00F75A58" w14:textId="77777777">
              <w:tc>
                <w:tcPr>
                  <w:tcW w:w="1207" w:type="dxa"/>
                  <w:tcBorders>
                    <w:top w:val="nil"/>
                    <w:left w:val="nil"/>
                    <w:bottom w:val="nil"/>
                    <w:right w:val="nil"/>
                  </w:tcBorders>
                </w:tcPr>
                <w:p w14:paraId="3B80477B" w14:textId="77777777" w:rsidR="002E3CAC" w:rsidRDefault="002E3CAC" w:rsidP="002E3CAC">
                  <w:pPr>
                    <w:pStyle w:val="Reportheader"/>
                    <w:widowControl/>
                    <w:rPr>
                      <w:sz w:val="20"/>
                      <w:szCs w:val="20"/>
                    </w:rPr>
                  </w:pPr>
                  <w:r>
                    <w:rPr>
                      <w:sz w:val="20"/>
                      <w:szCs w:val="20"/>
                    </w:rPr>
                    <w:t>CAS:</w:t>
                  </w:r>
                </w:p>
              </w:tc>
              <w:tc>
                <w:tcPr>
                  <w:tcW w:w="1276" w:type="dxa"/>
                  <w:tcBorders>
                    <w:top w:val="nil"/>
                    <w:left w:val="nil"/>
                    <w:bottom w:val="nil"/>
                    <w:right w:val="nil"/>
                  </w:tcBorders>
                </w:tcPr>
                <w:p w14:paraId="43431E8A" w14:textId="77777777" w:rsidR="002E3CAC" w:rsidRDefault="002E3CAC" w:rsidP="002E3CAC">
                  <w:pPr>
                    <w:pStyle w:val="Reportheader"/>
                    <w:widowControl/>
                    <w:rPr>
                      <w:sz w:val="20"/>
                      <w:szCs w:val="20"/>
                    </w:rPr>
                  </w:pPr>
                  <w:r>
                    <w:rPr>
                      <w:sz w:val="20"/>
                      <w:szCs w:val="20"/>
                    </w:rPr>
                    <w:t>67-64-1</w:t>
                  </w:r>
                </w:p>
              </w:tc>
            </w:tr>
            <w:tr w:rsidR="002E3CAC" w14:paraId="75FC3551" w14:textId="77777777">
              <w:tc>
                <w:tcPr>
                  <w:tcW w:w="1207" w:type="dxa"/>
                  <w:tcBorders>
                    <w:top w:val="nil"/>
                    <w:left w:val="nil"/>
                    <w:bottom w:val="nil"/>
                    <w:right w:val="nil"/>
                  </w:tcBorders>
                </w:tcPr>
                <w:p w14:paraId="2C519D04" w14:textId="77777777" w:rsidR="002E3CAC" w:rsidRDefault="002E3CAC" w:rsidP="002E3CAC">
                  <w:pPr>
                    <w:pStyle w:val="Reportheader"/>
                    <w:widowControl/>
                    <w:rPr>
                      <w:sz w:val="20"/>
                      <w:szCs w:val="20"/>
                    </w:rPr>
                  </w:pPr>
                  <w:r>
                    <w:rPr>
                      <w:sz w:val="20"/>
                      <w:szCs w:val="20"/>
                    </w:rPr>
                    <w:t>EC:</w:t>
                  </w:r>
                </w:p>
                <w:p w14:paraId="52015B06" w14:textId="77777777" w:rsidR="002E3CAC" w:rsidRDefault="002E3CAC" w:rsidP="002E3CAC">
                  <w:pPr>
                    <w:pStyle w:val="Reportheader"/>
                    <w:widowControl/>
                    <w:rPr>
                      <w:sz w:val="20"/>
                      <w:szCs w:val="20"/>
                    </w:rPr>
                  </w:pPr>
                  <w:r>
                    <w:rPr>
                      <w:sz w:val="20"/>
                      <w:szCs w:val="20"/>
                      <w:lang w:val="en-US"/>
                    </w:rPr>
                    <w:t>Reg. No.:</w:t>
                  </w:r>
                </w:p>
              </w:tc>
              <w:tc>
                <w:tcPr>
                  <w:tcW w:w="1276" w:type="dxa"/>
                  <w:tcBorders>
                    <w:top w:val="nil"/>
                    <w:left w:val="nil"/>
                    <w:bottom w:val="nil"/>
                    <w:right w:val="nil"/>
                  </w:tcBorders>
                </w:tcPr>
                <w:p w14:paraId="190DDFD8" w14:textId="77777777" w:rsidR="002E3CAC" w:rsidRDefault="002E3CAC" w:rsidP="002E3CAC">
                  <w:pPr>
                    <w:pStyle w:val="Reportheader"/>
                    <w:widowControl/>
                    <w:rPr>
                      <w:sz w:val="20"/>
                      <w:szCs w:val="20"/>
                    </w:rPr>
                  </w:pPr>
                  <w:r>
                    <w:rPr>
                      <w:sz w:val="20"/>
                      <w:szCs w:val="20"/>
                    </w:rPr>
                    <w:t>200-662-2</w:t>
                  </w:r>
                </w:p>
                <w:p w14:paraId="4451176B" w14:textId="77777777" w:rsidR="002E3CAC" w:rsidRDefault="002E3CAC" w:rsidP="002E3CAC">
                  <w:pPr>
                    <w:pStyle w:val="Reportheader"/>
                    <w:widowControl/>
                    <w:rPr>
                      <w:sz w:val="20"/>
                      <w:szCs w:val="20"/>
                    </w:rPr>
                  </w:pPr>
                  <w:r>
                    <w:rPr>
                      <w:sz w:val="20"/>
                      <w:szCs w:val="20"/>
                    </w:rPr>
                    <w:t>01-2119471330-49-XXXX</w:t>
                  </w:r>
                </w:p>
              </w:tc>
            </w:tr>
          </w:tbl>
          <w:p w14:paraId="67964F45" w14:textId="77777777" w:rsidR="002E3CAC" w:rsidRDefault="002E3CAC" w:rsidP="002E3CAC">
            <w:pPr>
              <w:pStyle w:val="Reportheader"/>
              <w:widowControl/>
              <w:rPr>
                <w:sz w:val="20"/>
                <w:szCs w:val="20"/>
              </w:rPr>
            </w:pPr>
          </w:p>
        </w:tc>
        <w:tc>
          <w:tcPr>
            <w:tcW w:w="3232" w:type="dxa"/>
            <w:tcBorders>
              <w:top w:val="single" w:sz="6" w:space="0" w:color="000000"/>
              <w:left w:val="single" w:sz="6" w:space="0" w:color="000000"/>
              <w:bottom w:val="single" w:sz="6" w:space="0" w:color="000000"/>
              <w:right w:val="single" w:sz="6" w:space="0" w:color="000000"/>
            </w:tcBorders>
          </w:tcPr>
          <w:p w14:paraId="0C6C0B2C" w14:textId="77777777" w:rsidR="002E3CAC" w:rsidRDefault="00EA7600" w:rsidP="002E3CAC">
            <w:pPr>
              <w:pStyle w:val="Reportheader"/>
              <w:widowControl/>
              <w:rPr>
                <w:sz w:val="20"/>
                <w:szCs w:val="20"/>
              </w:rPr>
            </w:pPr>
            <w:r>
              <w:rPr>
                <w:sz w:val="20"/>
                <w:szCs w:val="20"/>
              </w:rPr>
              <w:drawing>
                <wp:inline distT="0" distB="0" distL="0" distR="0" wp14:anchorId="2106DF99" wp14:editId="1FBCAA5B">
                  <wp:extent cx="180975" cy="1809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t>2.6/2 Flam. Liq. 2 H225</w:t>
              <w:br/>
              <w:t>3.3/2 Eye Irrit. 2 H319</w:t>
              <w:br/>
              <w:t>3.8/3 STOT SE 3 H336 EUH066</w:t>
            </w:r>
            <w:r w:rsidR="002E3CAC" w:rsidRPr="002C4D2B">
              <w:rPr>
                <w:sz w:val="20"/>
                <w:szCs w:val="20"/>
                <w:lang w:val="en-US"/>
              </w:rPr>
            </w:r>
            <w:r>
              <w:rPr>
                <w:sz w:val="20"/>
                <w:szCs w:val="20"/>
              </w:rPr>
              <w:drawing>
                <wp:inline distT="0" distB="0" distL="0" distR="0" wp14:anchorId="23E01A42" wp14:editId="675C2E77">
                  <wp:extent cx="180975" cy="1809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r>
            <w:r w:rsidR="002E3CAC">
              <w:rPr>
                <w:sz w:val="20"/>
                <w:szCs w:val="20"/>
              </w:rPr>
            </w:r>
            <w:r w:rsidR="002E3CAC">
              <w:rPr>
                <w:sz w:val="20"/>
                <w:szCs w:val="20"/>
              </w:rPr>
            </w:r>
            <w:r>
              <w:rPr>
                <w:sz w:val="20"/>
                <w:szCs w:val="20"/>
              </w:rPr>
              <w:drawing>
                <wp:inline distT="0" distB="0" distL="0" distR="0" wp14:anchorId="566F78ED" wp14:editId="0D7EF2F1">
                  <wp:extent cx="180975" cy="1809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Pr>
                <w:sz w:val="20"/>
                <w:szCs w:val="20"/>
              </w:rPr>
            </w:r>
          </w:p>
        </w:tc>
      </w:tr>
      <w:tr w:rsidR="002E3CAC" w:rsidRPr="00872994" w14:paraId="25732CC6" w14:textId="77777777">
        <w:tc>
          <w:tcPr>
            <w:tcW w:w="964" w:type="dxa"/>
            <w:tcBorders>
              <w:top w:val="single" w:sz="6" w:space="0" w:color="000000"/>
              <w:left w:val="single" w:sz="6" w:space="0" w:color="000000"/>
              <w:bottom w:val="single" w:sz="6" w:space="0" w:color="000000"/>
              <w:right w:val="single" w:sz="6" w:space="0" w:color="000000"/>
            </w:tcBorders>
          </w:tcPr>
          <w:p w14:paraId="080584BE" w14:textId="77777777" w:rsidR="002E3CAC" w:rsidRDefault="002E3CAC" w:rsidP="002E3CAC">
            <w:pPr>
              <w:pStyle w:val="ReportHeader0"/>
              <w:widowControl/>
              <w:rPr>
                <w:sz w:val="20"/>
                <w:szCs w:val="20"/>
              </w:rPr>
            </w:pPr>
            <w:r>
              <w:rPr>
                <w:sz w:val="20"/>
                <w:szCs w:val="20"/>
              </w:rPr>
              <w:t>&gt;= 15% - &lt; 20%</w:t>
            </w:r>
          </w:p>
        </w:tc>
        <w:tc>
          <w:tcPr>
            <w:tcW w:w="2211" w:type="dxa"/>
            <w:tcBorders>
              <w:top w:val="single" w:sz="6" w:space="0" w:color="000000"/>
              <w:left w:val="single" w:sz="6" w:space="0" w:color="000000"/>
              <w:bottom w:val="single" w:sz="6" w:space="0" w:color="000000"/>
              <w:right w:val="single" w:sz="6" w:space="0" w:color="000000"/>
            </w:tcBorders>
          </w:tcPr>
          <w:p w14:paraId="56C21961" w14:textId="77777777" w:rsidR="002E3CAC" w:rsidRDefault="002E3CAC" w:rsidP="002E3CAC">
            <w:pPr>
              <w:pStyle w:val="ReportHeader0"/>
              <w:widowControl/>
              <w:rPr>
                <w:sz w:val="20"/>
                <w:szCs w:val="20"/>
              </w:rPr>
            </w:pPr>
            <w:r>
              <w:t>propane</w:t>
            </w:r>
          </w:p>
        </w:tc>
        <w:tc>
          <w:tcPr>
            <w:tcW w:w="2551" w:type="dxa"/>
            <w:tcBorders>
              <w:top w:val="single" w:sz="6" w:space="0" w:color="000000"/>
              <w:left w:val="single" w:sz="6" w:space="0" w:color="000000"/>
              <w:bottom w:val="single" w:sz="6" w:space="0" w:color="000000"/>
              <w:right w:val="single" w:sz="6" w:space="0" w:color="000000"/>
            </w:tcBorders>
          </w:tcPr>
          <w:tbl>
            <w:tblPr>
              <w:tblW w:w="0" w:type="dxa"/>
              <w:tblLayout w:type="fixed"/>
              <w:tblCellMar>
                <w:left w:w="0" w:type="dxa"/>
                <w:right w:w="0" w:type="dxa"/>
              </w:tblCellMar>
              <w:tblLook w:val="0000" w:firstRow="0" w:lastRow="0" w:firstColumn="0" w:lastColumn="0" w:noHBand="0" w:noVBand="0"/>
            </w:tblPr>
            <w:tblGrid>
              <w:gridCol w:w="1207"/>
              <w:gridCol w:w="1276"/>
            </w:tblGrid>
            <w:tr w:rsidR="002E3CAC" w14:paraId="418A1AFD" w14:textId="77777777">
              <w:tc>
                <w:tcPr>
                  <w:tcW w:w="1207" w:type="dxa"/>
                  <w:tcBorders>
                    <w:top w:val="nil"/>
                    <w:left w:val="nil"/>
                    <w:bottom w:val="nil"/>
                    <w:right w:val="nil"/>
                  </w:tcBorders>
                </w:tcPr>
                <w:p w14:paraId="6F548C75" w14:textId="77777777" w:rsidR="002E3CAC" w:rsidRDefault="002E3CAC" w:rsidP="002E3CAC">
                  <w:pPr>
                    <w:pStyle w:val="Reportheader"/>
                    <w:widowControl/>
                    <w:rPr>
                      <w:sz w:val="20"/>
                      <w:szCs w:val="20"/>
                    </w:rPr>
                  </w:pPr>
                  <w:r>
                    <w:rPr>
                      <w:sz w:val="20"/>
                      <w:szCs w:val="20"/>
                    </w:rPr>
                    <w:t>Index Number:</w:t>
                  </w:r>
                </w:p>
              </w:tc>
              <w:tc>
                <w:tcPr>
                  <w:tcW w:w="1276" w:type="dxa"/>
                  <w:tcBorders>
                    <w:top w:val="nil"/>
                    <w:left w:val="nil"/>
                    <w:bottom w:val="nil"/>
                    <w:right w:val="nil"/>
                  </w:tcBorders>
                </w:tcPr>
                <w:p w14:paraId="199D45C3" w14:textId="77777777" w:rsidR="002E3CAC" w:rsidRDefault="002E3CAC" w:rsidP="002E3CAC">
                  <w:pPr>
                    <w:pStyle w:val="Reportheader"/>
                    <w:widowControl/>
                    <w:rPr>
                      <w:sz w:val="20"/>
                      <w:szCs w:val="20"/>
                    </w:rPr>
                  </w:pPr>
                  <w:r>
                    <w:rPr>
                      <w:sz w:val="20"/>
                      <w:szCs w:val="20"/>
                    </w:rPr>
                    <w:t>601-003-00-5</w:t>
                  </w:r>
                </w:p>
              </w:tc>
            </w:tr>
            <w:tr w:rsidR="002E3CAC" w14:paraId="1B95867B" w14:textId="77777777">
              <w:tc>
                <w:tcPr>
                  <w:tcW w:w="1207" w:type="dxa"/>
                  <w:tcBorders>
                    <w:top w:val="nil"/>
                    <w:left w:val="nil"/>
                    <w:bottom w:val="nil"/>
                    <w:right w:val="nil"/>
                  </w:tcBorders>
                </w:tcPr>
                <w:p w14:paraId="6A3A2AE2" w14:textId="77777777" w:rsidR="002E3CAC" w:rsidRDefault="002E3CAC" w:rsidP="002E3CAC">
                  <w:pPr>
                    <w:pStyle w:val="Reportheader"/>
                    <w:widowControl/>
                    <w:rPr>
                      <w:sz w:val="20"/>
                      <w:szCs w:val="20"/>
                    </w:rPr>
                  </w:pPr>
                  <w:r>
                    <w:rPr>
                      <w:sz w:val="20"/>
                      <w:szCs w:val="20"/>
                    </w:rPr>
                    <w:t>CAS:</w:t>
                  </w:r>
                </w:p>
              </w:tc>
              <w:tc>
                <w:tcPr>
                  <w:tcW w:w="1276" w:type="dxa"/>
                  <w:tcBorders>
                    <w:top w:val="nil"/>
                    <w:left w:val="nil"/>
                    <w:bottom w:val="nil"/>
                    <w:right w:val="nil"/>
                  </w:tcBorders>
                </w:tcPr>
                <w:p w14:paraId="548C0B2C" w14:textId="77777777" w:rsidR="002E3CAC" w:rsidRDefault="002E3CAC" w:rsidP="002E3CAC">
                  <w:pPr>
                    <w:pStyle w:val="Reportheader"/>
                    <w:widowControl/>
                    <w:rPr>
                      <w:sz w:val="20"/>
                      <w:szCs w:val="20"/>
                    </w:rPr>
                  </w:pPr>
                  <w:r>
                    <w:rPr>
                      <w:sz w:val="20"/>
                      <w:szCs w:val="20"/>
                    </w:rPr>
                    <w:t>74-98-6</w:t>
                  </w:r>
                </w:p>
              </w:tc>
            </w:tr>
            <w:tr w:rsidR="002E3CAC" w14:paraId="236BE44F" w14:textId="77777777">
              <w:tc>
                <w:tcPr>
                  <w:tcW w:w="1207" w:type="dxa"/>
                  <w:tcBorders>
                    <w:top w:val="nil"/>
                    <w:left w:val="nil"/>
                    <w:bottom w:val="nil"/>
                    <w:right w:val="nil"/>
                  </w:tcBorders>
                </w:tcPr>
                <w:p w14:paraId="5254DAF3" w14:textId="77777777" w:rsidR="002E3CAC" w:rsidRDefault="002E3CAC" w:rsidP="002E3CAC">
                  <w:pPr>
                    <w:pStyle w:val="Reportheader"/>
                    <w:widowControl/>
                    <w:rPr>
                      <w:sz w:val="20"/>
                      <w:szCs w:val="20"/>
                    </w:rPr>
                  </w:pPr>
                  <w:r>
                    <w:rPr>
                      <w:sz w:val="20"/>
                      <w:szCs w:val="20"/>
                    </w:rPr>
                    <w:t>EC:</w:t>
                  </w:r>
                </w:p>
                <w:p w14:paraId="1C6073F2" w14:textId="77777777" w:rsidR="002E3CAC" w:rsidRDefault="002E3CAC" w:rsidP="002E3CAC">
                  <w:pPr>
                    <w:pStyle w:val="Reportheader"/>
                    <w:widowControl/>
                    <w:rPr>
                      <w:sz w:val="20"/>
                      <w:szCs w:val="20"/>
                    </w:rPr>
                  </w:pPr>
                  <w:r>
                    <w:rPr>
                      <w:sz w:val="20"/>
                      <w:szCs w:val="20"/>
                      <w:lang w:val="en-US"/>
                    </w:rPr>
                    <w:t>Reg. No.:</w:t>
                  </w:r>
                </w:p>
              </w:tc>
              <w:tc>
                <w:tcPr>
                  <w:tcW w:w="1276" w:type="dxa"/>
                  <w:tcBorders>
                    <w:top w:val="nil"/>
                    <w:left w:val="nil"/>
                    <w:bottom w:val="nil"/>
                    <w:right w:val="nil"/>
                  </w:tcBorders>
                </w:tcPr>
                <w:p w14:paraId="3B4CD252" w14:textId="77777777" w:rsidR="002E3CAC" w:rsidRDefault="002E3CAC" w:rsidP="002E3CAC">
                  <w:pPr>
                    <w:pStyle w:val="Reportheader"/>
                    <w:widowControl/>
                    <w:rPr>
                      <w:sz w:val="20"/>
                      <w:szCs w:val="20"/>
                    </w:rPr>
                  </w:pPr>
                  <w:r>
                    <w:rPr>
                      <w:sz w:val="20"/>
                      <w:szCs w:val="20"/>
                    </w:rPr>
                    <w:t>200-827-9</w:t>
                  </w:r>
                </w:p>
                <w:p w14:paraId="0D2D719A" w14:textId="77777777" w:rsidR="002E3CAC" w:rsidRDefault="002E3CAC" w:rsidP="002E3CAC">
                  <w:pPr>
                    <w:pStyle w:val="Reportheader"/>
                    <w:widowControl/>
                    <w:rPr>
                      <w:sz w:val="20"/>
                      <w:szCs w:val="20"/>
                    </w:rPr>
                  </w:pPr>
                  <w:r w:rsidRPr="00643123">
                    <w:rPr>
                      <w:sz w:val="20"/>
                      <w:szCs w:val="20"/>
                      <w:lang w:val="en-US"/>
                    </w:rPr>
                    <w:t>01-2119486944-21-XXXX</w:t>
                  </w:r>
                </w:p>
              </w:tc>
            </w:tr>
          </w:tbl>
          <w:p w14:paraId="7D22697C" w14:textId="77777777" w:rsidR="002E3CAC" w:rsidRDefault="002E3CAC" w:rsidP="002E3CAC">
            <w:pPr>
              <w:pStyle w:val="Reportheader"/>
              <w:widowControl/>
              <w:rPr>
                <w:sz w:val="20"/>
                <w:szCs w:val="20"/>
              </w:rPr>
            </w:pPr>
          </w:p>
        </w:tc>
        <w:tc>
          <w:tcPr>
            <w:tcW w:w="3232" w:type="dxa"/>
            <w:tcBorders>
              <w:top w:val="single" w:sz="6" w:space="0" w:color="000000"/>
              <w:left w:val="single" w:sz="6" w:space="0" w:color="000000"/>
              <w:bottom w:val="single" w:sz="6" w:space="0" w:color="000000"/>
              <w:right w:val="single" w:sz="6" w:space="0" w:color="000000"/>
            </w:tcBorders>
          </w:tcPr>
          <w:p w14:paraId="2C35C27E" w14:textId="77777777" w:rsidR="002E3CAC" w:rsidRPr="002C4D2B" w:rsidRDefault="00EA7600" w:rsidP="002E3CAC">
            <w:pPr>
              <w:pStyle w:val="Reportheader"/>
              <w:widowControl/>
              <w:rPr>
                <w:sz w:val="20"/>
                <w:szCs w:val="20"/>
                <w:lang w:val="en-US"/>
              </w:rPr>
            </w:pPr>
            <w:r>
              <w:rPr>
                <w:sz w:val="20"/>
                <w:szCs w:val="20"/>
              </w:rPr>
              <w:drawing>
                <wp:inline distT="0" distB="0" distL="0" distR="0" wp14:anchorId="5A3ACF08" wp14:editId="1D254AB0">
                  <wp:extent cx="180975" cy="18097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t>2.2/1 Flam. Gas 1 H220</w:t>
              <w:br/>
              <w:t>2.5 Press. Gas H280</w:t>
            </w:r>
            <w:r w:rsidR="002E3CAC" w:rsidRPr="002C4D2B">
              <w:rPr>
                <w:sz w:val="20"/>
                <w:szCs w:val="20"/>
                <w:lang w:val="en-US"/>
              </w:rPr>
            </w:r>
            <w:r>
              <w:rPr>
                <w:sz w:val="20"/>
                <w:szCs w:val="20"/>
              </w:rPr>
              <w:drawing>
                <wp:inline distT="0" distB="0" distL="0" distR="0" wp14:anchorId="3AAF012D" wp14:editId="66CD00E0">
                  <wp:extent cx="180975" cy="18097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r>
          </w:p>
        </w:tc>
      </w:tr>
      <w:tr w:rsidR="002E3CAC" w:rsidRPr="00872994" w14:paraId="5C0CC8CC" w14:textId="77777777">
        <w:tc>
          <w:tcPr>
            <w:tcW w:w="964" w:type="dxa"/>
            <w:tcBorders>
              <w:top w:val="single" w:sz="6" w:space="0" w:color="000000"/>
              <w:left w:val="single" w:sz="6" w:space="0" w:color="000000"/>
              <w:bottom w:val="single" w:sz="6" w:space="0" w:color="000000"/>
              <w:right w:val="single" w:sz="6" w:space="0" w:color="000000"/>
            </w:tcBorders>
          </w:tcPr>
          <w:p w14:paraId="4E8968F8" w14:textId="77777777" w:rsidR="002E3CAC" w:rsidRDefault="002E3CAC" w:rsidP="002E3CAC">
            <w:pPr>
              <w:pStyle w:val="ReportHeader0"/>
              <w:widowControl/>
              <w:rPr>
                <w:sz w:val="20"/>
                <w:szCs w:val="20"/>
              </w:rPr>
            </w:pPr>
            <w:r>
              <w:rPr>
                <w:sz w:val="20"/>
                <w:szCs w:val="20"/>
              </w:rPr>
              <w:t>&gt;= 7% - &lt; 10%</w:t>
            </w:r>
          </w:p>
        </w:tc>
        <w:tc>
          <w:tcPr>
            <w:tcW w:w="2211" w:type="dxa"/>
            <w:tcBorders>
              <w:top w:val="single" w:sz="6" w:space="0" w:color="000000"/>
              <w:left w:val="single" w:sz="6" w:space="0" w:color="000000"/>
              <w:bottom w:val="single" w:sz="6" w:space="0" w:color="000000"/>
              <w:right w:val="single" w:sz="6" w:space="0" w:color="000000"/>
            </w:tcBorders>
          </w:tcPr>
          <w:p w14:paraId="088CBF0C" w14:textId="77777777" w:rsidR="002E3CAC" w:rsidRDefault="002E3CAC" w:rsidP="002E3CAC">
            <w:pPr>
              <w:pStyle w:val="ReportHeader0"/>
              <w:widowControl/>
              <w:rPr>
                <w:sz w:val="20"/>
                <w:szCs w:val="20"/>
              </w:rPr>
            </w:pPr>
            <w:r>
              <w:t>butane</w:t>
            </w:r>
          </w:p>
        </w:tc>
        <w:tc>
          <w:tcPr>
            <w:tcW w:w="2551" w:type="dxa"/>
            <w:tcBorders>
              <w:top w:val="single" w:sz="6" w:space="0" w:color="000000"/>
              <w:left w:val="single" w:sz="6" w:space="0" w:color="000000"/>
              <w:bottom w:val="single" w:sz="6" w:space="0" w:color="000000"/>
              <w:right w:val="single" w:sz="6" w:space="0" w:color="000000"/>
            </w:tcBorders>
          </w:tcPr>
          <w:tbl>
            <w:tblPr>
              <w:tblW w:w="0" w:type="dxa"/>
              <w:tblLayout w:type="fixed"/>
              <w:tblCellMar>
                <w:left w:w="0" w:type="dxa"/>
                <w:right w:w="0" w:type="dxa"/>
              </w:tblCellMar>
              <w:tblLook w:val="0000" w:firstRow="0" w:lastRow="0" w:firstColumn="0" w:lastColumn="0" w:noHBand="0" w:noVBand="0"/>
            </w:tblPr>
            <w:tblGrid>
              <w:gridCol w:w="1207"/>
              <w:gridCol w:w="1276"/>
            </w:tblGrid>
            <w:tr w:rsidR="002E3CAC" w14:paraId="12F70C65" w14:textId="77777777">
              <w:tc>
                <w:tcPr>
                  <w:tcW w:w="1207" w:type="dxa"/>
                  <w:tcBorders>
                    <w:top w:val="nil"/>
                    <w:left w:val="nil"/>
                    <w:bottom w:val="nil"/>
                    <w:right w:val="nil"/>
                  </w:tcBorders>
                </w:tcPr>
                <w:p w14:paraId="1A89F7BE" w14:textId="77777777" w:rsidR="002E3CAC" w:rsidRDefault="002E3CAC" w:rsidP="002E3CAC">
                  <w:pPr>
                    <w:pStyle w:val="Reportheader"/>
                    <w:widowControl/>
                    <w:rPr>
                      <w:sz w:val="20"/>
                      <w:szCs w:val="20"/>
                    </w:rPr>
                  </w:pPr>
                  <w:r>
                    <w:rPr>
                      <w:sz w:val="20"/>
                      <w:szCs w:val="20"/>
                    </w:rPr>
                    <w:t>Index Number:</w:t>
                  </w:r>
                </w:p>
              </w:tc>
              <w:tc>
                <w:tcPr>
                  <w:tcW w:w="1276" w:type="dxa"/>
                  <w:tcBorders>
                    <w:top w:val="nil"/>
                    <w:left w:val="nil"/>
                    <w:bottom w:val="nil"/>
                    <w:right w:val="nil"/>
                  </w:tcBorders>
                </w:tcPr>
                <w:p w14:paraId="39F1F955" w14:textId="77777777" w:rsidR="002E3CAC" w:rsidRDefault="002E3CAC" w:rsidP="002E3CAC">
                  <w:pPr>
                    <w:pStyle w:val="Reportheader"/>
                    <w:widowControl/>
                    <w:rPr>
                      <w:sz w:val="20"/>
                      <w:szCs w:val="20"/>
                    </w:rPr>
                  </w:pPr>
                  <w:r>
                    <w:rPr>
                      <w:sz w:val="20"/>
                      <w:szCs w:val="20"/>
                    </w:rPr>
                    <w:t>601-004-00-0</w:t>
                  </w:r>
                </w:p>
              </w:tc>
            </w:tr>
            <w:tr w:rsidR="002E3CAC" w14:paraId="1C7F0805" w14:textId="77777777">
              <w:tc>
                <w:tcPr>
                  <w:tcW w:w="1207" w:type="dxa"/>
                  <w:tcBorders>
                    <w:top w:val="nil"/>
                    <w:left w:val="nil"/>
                    <w:bottom w:val="nil"/>
                    <w:right w:val="nil"/>
                  </w:tcBorders>
                </w:tcPr>
                <w:p w14:paraId="2AA3425A" w14:textId="77777777" w:rsidR="002E3CAC" w:rsidRDefault="002E3CAC" w:rsidP="002E3CAC">
                  <w:pPr>
                    <w:pStyle w:val="Reportheader"/>
                    <w:widowControl/>
                    <w:rPr>
                      <w:sz w:val="20"/>
                      <w:szCs w:val="20"/>
                    </w:rPr>
                  </w:pPr>
                  <w:r>
                    <w:rPr>
                      <w:sz w:val="20"/>
                      <w:szCs w:val="20"/>
                    </w:rPr>
                    <w:t>CAS:</w:t>
                  </w:r>
                </w:p>
              </w:tc>
              <w:tc>
                <w:tcPr>
                  <w:tcW w:w="1276" w:type="dxa"/>
                  <w:tcBorders>
                    <w:top w:val="nil"/>
                    <w:left w:val="nil"/>
                    <w:bottom w:val="nil"/>
                    <w:right w:val="nil"/>
                  </w:tcBorders>
                </w:tcPr>
                <w:p w14:paraId="5435515C" w14:textId="77777777" w:rsidR="002E3CAC" w:rsidRDefault="002E3CAC" w:rsidP="002E3CAC">
                  <w:pPr>
                    <w:pStyle w:val="Reportheader"/>
                    <w:widowControl/>
                    <w:rPr>
                      <w:sz w:val="20"/>
                      <w:szCs w:val="20"/>
                    </w:rPr>
                  </w:pPr>
                  <w:r>
                    <w:rPr>
                      <w:sz w:val="20"/>
                      <w:szCs w:val="20"/>
                    </w:rPr>
                    <w:t>106-97-8</w:t>
                  </w:r>
                </w:p>
              </w:tc>
            </w:tr>
            <w:tr w:rsidR="002E3CAC" w14:paraId="03887754" w14:textId="77777777">
              <w:tc>
                <w:tcPr>
                  <w:tcW w:w="1207" w:type="dxa"/>
                  <w:tcBorders>
                    <w:top w:val="nil"/>
                    <w:left w:val="nil"/>
                    <w:bottom w:val="nil"/>
                    <w:right w:val="nil"/>
                  </w:tcBorders>
                </w:tcPr>
                <w:p w14:paraId="50637A3D" w14:textId="77777777" w:rsidR="002E3CAC" w:rsidRDefault="002E3CAC" w:rsidP="002E3CAC">
                  <w:pPr>
                    <w:pStyle w:val="Reportheader"/>
                    <w:widowControl/>
                    <w:rPr>
                      <w:sz w:val="20"/>
                      <w:szCs w:val="20"/>
                    </w:rPr>
                  </w:pPr>
                  <w:r>
                    <w:rPr>
                      <w:sz w:val="20"/>
                      <w:szCs w:val="20"/>
                    </w:rPr>
                    <w:t>EC:</w:t>
                  </w:r>
                </w:p>
                <w:p w14:paraId="13554882" w14:textId="77777777" w:rsidR="002E3CAC" w:rsidRDefault="002E3CAC" w:rsidP="002E3CAC">
                  <w:pPr>
                    <w:pStyle w:val="Reportheader"/>
                    <w:widowControl/>
                    <w:rPr>
                      <w:sz w:val="20"/>
                      <w:szCs w:val="20"/>
                    </w:rPr>
                  </w:pPr>
                  <w:r>
                    <w:rPr>
                      <w:sz w:val="20"/>
                      <w:szCs w:val="20"/>
                      <w:lang w:val="en-US"/>
                    </w:rPr>
                    <w:t>Reg. No.:</w:t>
                  </w:r>
                </w:p>
              </w:tc>
              <w:tc>
                <w:tcPr>
                  <w:tcW w:w="1276" w:type="dxa"/>
                  <w:tcBorders>
                    <w:top w:val="nil"/>
                    <w:left w:val="nil"/>
                    <w:bottom w:val="nil"/>
                    <w:right w:val="nil"/>
                  </w:tcBorders>
                </w:tcPr>
                <w:p w14:paraId="49CB6E9B" w14:textId="77777777" w:rsidR="002E3CAC" w:rsidRDefault="002E3CAC" w:rsidP="002E3CAC">
                  <w:pPr>
                    <w:pStyle w:val="Reportheader"/>
                    <w:widowControl/>
                    <w:rPr>
                      <w:sz w:val="20"/>
                      <w:szCs w:val="20"/>
                    </w:rPr>
                  </w:pPr>
                  <w:r>
                    <w:rPr>
                      <w:sz w:val="20"/>
                      <w:szCs w:val="20"/>
                    </w:rPr>
                    <w:t>203-448-7</w:t>
                  </w:r>
                </w:p>
                <w:p w14:paraId="1C5EFFCF" w14:textId="77777777" w:rsidR="002E3CAC" w:rsidRDefault="002E3CAC" w:rsidP="002E3CAC">
                  <w:pPr>
                    <w:pStyle w:val="Reportheader"/>
                    <w:widowControl/>
                    <w:rPr>
                      <w:sz w:val="20"/>
                      <w:szCs w:val="20"/>
                    </w:rPr>
                  </w:pPr>
                  <w:r>
                    <w:rPr>
                      <w:sz w:val="20"/>
                      <w:szCs w:val="20"/>
                    </w:rPr>
                    <w:t>01-2119474691-32-XXXX</w:t>
                  </w:r>
                </w:p>
              </w:tc>
            </w:tr>
          </w:tbl>
          <w:p w14:paraId="25567DCD" w14:textId="77777777" w:rsidR="002E3CAC" w:rsidRDefault="002E3CAC" w:rsidP="002E3CAC">
            <w:pPr>
              <w:pStyle w:val="Reportheader"/>
              <w:widowControl/>
              <w:rPr>
                <w:sz w:val="20"/>
                <w:szCs w:val="20"/>
              </w:rPr>
            </w:pPr>
          </w:p>
        </w:tc>
        <w:tc>
          <w:tcPr>
            <w:tcW w:w="3232" w:type="dxa"/>
            <w:tcBorders>
              <w:top w:val="single" w:sz="6" w:space="0" w:color="000000"/>
              <w:left w:val="single" w:sz="6" w:space="0" w:color="000000"/>
              <w:bottom w:val="single" w:sz="6" w:space="0" w:color="000000"/>
              <w:right w:val="single" w:sz="6" w:space="0" w:color="000000"/>
            </w:tcBorders>
          </w:tcPr>
          <w:p w14:paraId="0224E25D" w14:textId="77777777" w:rsidR="002E3CAC" w:rsidRPr="002C4D2B" w:rsidRDefault="00EA7600" w:rsidP="002E3CAC">
            <w:pPr>
              <w:pStyle w:val="Reportheader"/>
              <w:widowControl/>
              <w:rPr>
                <w:sz w:val="20"/>
                <w:szCs w:val="20"/>
                <w:lang w:val="en-US"/>
              </w:rPr>
            </w:pPr>
            <w:r>
              <w:rPr>
                <w:sz w:val="20"/>
                <w:szCs w:val="20"/>
              </w:rPr>
              <w:drawing>
                <wp:inline distT="0" distB="0" distL="0" distR="0" wp14:anchorId="61A76FEF" wp14:editId="6F7E0681">
                  <wp:extent cx="180975" cy="18097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t>2.2/1 Flam. Gas 1 H220</w:t>
              <w:br/>
              <w:t>2.5 Press. Gas H280</w:t>
            </w:r>
            <w:r w:rsidR="002E3CAC" w:rsidRPr="002C4D2B">
              <w:rPr>
                <w:sz w:val="20"/>
                <w:szCs w:val="20"/>
                <w:lang w:val="en-US"/>
              </w:rPr>
            </w:r>
            <w:r>
              <w:rPr>
                <w:sz w:val="20"/>
                <w:szCs w:val="20"/>
              </w:rPr>
              <w:drawing>
                <wp:inline distT="0" distB="0" distL="0" distR="0" wp14:anchorId="50CC652B" wp14:editId="4C520873">
                  <wp:extent cx="180975" cy="18097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r>
          </w:p>
        </w:tc>
      </w:tr>
      <w:tr w:rsidR="002E3CAC" w:rsidRPr="00872994" w14:paraId="36F6C3C0" w14:textId="77777777">
        <w:tc>
          <w:tcPr>
            <w:tcW w:w="964" w:type="dxa"/>
            <w:tcBorders>
              <w:top w:val="single" w:sz="6" w:space="0" w:color="000000"/>
              <w:left w:val="single" w:sz="6" w:space="0" w:color="000000"/>
              <w:bottom w:val="single" w:sz="6" w:space="0" w:color="000000"/>
              <w:right w:val="single" w:sz="6" w:space="0" w:color="000000"/>
            </w:tcBorders>
          </w:tcPr>
          <w:p w14:paraId="71803118" w14:textId="77777777" w:rsidR="002E3CAC" w:rsidRDefault="002E3CAC" w:rsidP="002E3CAC">
            <w:pPr>
              <w:pStyle w:val="ReportHeader0"/>
              <w:widowControl/>
              <w:rPr>
                <w:sz w:val="20"/>
                <w:szCs w:val="20"/>
              </w:rPr>
            </w:pPr>
            <w:r>
              <w:rPr>
                <w:sz w:val="20"/>
                <w:szCs w:val="20"/>
              </w:rPr>
              <w:t>&gt;= 3% - &lt; 5%</w:t>
            </w:r>
          </w:p>
        </w:tc>
        <w:tc>
          <w:tcPr>
            <w:tcW w:w="2211" w:type="dxa"/>
            <w:tcBorders>
              <w:top w:val="single" w:sz="6" w:space="0" w:color="000000"/>
              <w:left w:val="single" w:sz="6" w:space="0" w:color="000000"/>
              <w:bottom w:val="single" w:sz="6" w:space="0" w:color="000000"/>
              <w:right w:val="single" w:sz="6" w:space="0" w:color="000000"/>
            </w:tcBorders>
          </w:tcPr>
          <w:p w14:paraId="5DE867A5" w14:textId="77777777" w:rsidR="002E3CAC" w:rsidRDefault="002E3CAC" w:rsidP="002E3CAC">
            <w:pPr>
              <w:pStyle w:val="ReportHeader0"/>
              <w:widowControl/>
              <w:rPr>
                <w:sz w:val="20"/>
                <w:szCs w:val="20"/>
              </w:rPr>
            </w:pPr>
            <w:r>
              <w:t>isobutane</w:t>
            </w:r>
          </w:p>
        </w:tc>
        <w:tc>
          <w:tcPr>
            <w:tcW w:w="2551" w:type="dxa"/>
            <w:tcBorders>
              <w:top w:val="single" w:sz="6" w:space="0" w:color="000000"/>
              <w:left w:val="single" w:sz="6" w:space="0" w:color="000000"/>
              <w:bottom w:val="single" w:sz="6" w:space="0" w:color="000000"/>
              <w:right w:val="single" w:sz="6" w:space="0" w:color="000000"/>
            </w:tcBorders>
          </w:tcPr>
          <w:tbl>
            <w:tblPr>
              <w:tblW w:w="0" w:type="dxa"/>
              <w:tblLayout w:type="fixed"/>
              <w:tblCellMar>
                <w:left w:w="0" w:type="dxa"/>
                <w:right w:w="0" w:type="dxa"/>
              </w:tblCellMar>
              <w:tblLook w:val="0000" w:firstRow="0" w:lastRow="0" w:firstColumn="0" w:lastColumn="0" w:noHBand="0" w:noVBand="0"/>
            </w:tblPr>
            <w:tblGrid>
              <w:gridCol w:w="1207"/>
              <w:gridCol w:w="1276"/>
            </w:tblGrid>
            <w:tr w:rsidR="002E3CAC" w14:paraId="7543A1A7" w14:textId="77777777">
              <w:tc>
                <w:tcPr>
                  <w:tcW w:w="1207" w:type="dxa"/>
                  <w:tcBorders>
                    <w:top w:val="nil"/>
                    <w:left w:val="nil"/>
                    <w:bottom w:val="nil"/>
                    <w:right w:val="nil"/>
                  </w:tcBorders>
                </w:tcPr>
                <w:p w14:paraId="37DCFD95" w14:textId="77777777" w:rsidR="002E3CAC" w:rsidRDefault="002E3CAC" w:rsidP="002E3CAC">
                  <w:pPr>
                    <w:pStyle w:val="Reportheader"/>
                    <w:widowControl/>
                    <w:rPr>
                      <w:sz w:val="20"/>
                      <w:szCs w:val="20"/>
                    </w:rPr>
                  </w:pPr>
                  <w:r>
                    <w:rPr>
                      <w:sz w:val="20"/>
                      <w:szCs w:val="20"/>
                    </w:rPr>
                    <w:t>Index Number:</w:t>
                  </w:r>
                </w:p>
              </w:tc>
              <w:tc>
                <w:tcPr>
                  <w:tcW w:w="1276" w:type="dxa"/>
                  <w:tcBorders>
                    <w:top w:val="nil"/>
                    <w:left w:val="nil"/>
                    <w:bottom w:val="nil"/>
                    <w:right w:val="nil"/>
                  </w:tcBorders>
                </w:tcPr>
                <w:p w14:paraId="33F91266" w14:textId="77777777" w:rsidR="002E3CAC" w:rsidRDefault="002E3CAC" w:rsidP="002E3CAC">
                  <w:pPr>
                    <w:pStyle w:val="Reportheader"/>
                    <w:widowControl/>
                    <w:rPr>
                      <w:sz w:val="20"/>
                      <w:szCs w:val="20"/>
                    </w:rPr>
                  </w:pPr>
                  <w:r>
                    <w:rPr>
                      <w:sz w:val="20"/>
                      <w:szCs w:val="20"/>
                    </w:rPr>
                    <w:t>601-004-00-0</w:t>
                  </w:r>
                </w:p>
              </w:tc>
            </w:tr>
            <w:tr w:rsidR="002E3CAC" w14:paraId="4D9A85A8" w14:textId="77777777">
              <w:tc>
                <w:tcPr>
                  <w:tcW w:w="1207" w:type="dxa"/>
                  <w:tcBorders>
                    <w:top w:val="nil"/>
                    <w:left w:val="nil"/>
                    <w:bottom w:val="nil"/>
                    <w:right w:val="nil"/>
                  </w:tcBorders>
                </w:tcPr>
                <w:p w14:paraId="3E9D7243" w14:textId="77777777" w:rsidR="002E3CAC" w:rsidRDefault="002E3CAC" w:rsidP="002E3CAC">
                  <w:pPr>
                    <w:pStyle w:val="Reportheader"/>
                    <w:widowControl/>
                    <w:rPr>
                      <w:sz w:val="20"/>
                      <w:szCs w:val="20"/>
                    </w:rPr>
                  </w:pPr>
                  <w:r>
                    <w:rPr>
                      <w:sz w:val="20"/>
                      <w:szCs w:val="20"/>
                    </w:rPr>
                    <w:t>CAS:</w:t>
                  </w:r>
                </w:p>
              </w:tc>
              <w:tc>
                <w:tcPr>
                  <w:tcW w:w="1276" w:type="dxa"/>
                  <w:tcBorders>
                    <w:top w:val="nil"/>
                    <w:left w:val="nil"/>
                    <w:bottom w:val="nil"/>
                    <w:right w:val="nil"/>
                  </w:tcBorders>
                </w:tcPr>
                <w:p w14:paraId="39355213" w14:textId="77777777" w:rsidR="002E3CAC" w:rsidRDefault="002E3CAC" w:rsidP="002E3CAC">
                  <w:pPr>
                    <w:pStyle w:val="Reportheader"/>
                    <w:widowControl/>
                    <w:rPr>
                      <w:sz w:val="20"/>
                      <w:szCs w:val="20"/>
                    </w:rPr>
                  </w:pPr>
                  <w:r>
                    <w:rPr>
                      <w:sz w:val="20"/>
                      <w:szCs w:val="20"/>
                    </w:rPr>
                    <w:t>75-28-5</w:t>
                  </w:r>
                </w:p>
              </w:tc>
            </w:tr>
            <w:tr w:rsidR="002E3CAC" w14:paraId="57AA12C5" w14:textId="77777777">
              <w:tc>
                <w:tcPr>
                  <w:tcW w:w="1207" w:type="dxa"/>
                  <w:tcBorders>
                    <w:top w:val="nil"/>
                    <w:left w:val="nil"/>
                    <w:bottom w:val="nil"/>
                    <w:right w:val="nil"/>
                  </w:tcBorders>
                </w:tcPr>
                <w:p w14:paraId="3C06674E" w14:textId="77777777" w:rsidR="002E3CAC" w:rsidRDefault="002E3CAC" w:rsidP="002E3CAC">
                  <w:pPr>
                    <w:pStyle w:val="Reportheader"/>
                    <w:widowControl/>
                    <w:rPr>
                      <w:sz w:val="20"/>
                      <w:szCs w:val="20"/>
                    </w:rPr>
                  </w:pPr>
                  <w:r>
                    <w:rPr>
                      <w:sz w:val="20"/>
                      <w:szCs w:val="20"/>
                    </w:rPr>
                    <w:t>EC:</w:t>
                  </w:r>
                </w:p>
                <w:p w14:paraId="5CB5FD0A" w14:textId="77777777" w:rsidR="002E3CAC" w:rsidRDefault="002E3CAC" w:rsidP="002E3CAC">
                  <w:pPr>
                    <w:pStyle w:val="Reportheader"/>
                    <w:widowControl/>
                    <w:rPr>
                      <w:sz w:val="20"/>
                      <w:szCs w:val="20"/>
                    </w:rPr>
                  </w:pPr>
                  <w:r>
                    <w:rPr>
                      <w:sz w:val="20"/>
                      <w:szCs w:val="20"/>
                      <w:lang w:val="en-US"/>
                    </w:rPr>
                    <w:t>Reg. No.:</w:t>
                  </w:r>
                </w:p>
              </w:tc>
              <w:tc>
                <w:tcPr>
                  <w:tcW w:w="1276" w:type="dxa"/>
                  <w:tcBorders>
                    <w:top w:val="nil"/>
                    <w:left w:val="nil"/>
                    <w:bottom w:val="nil"/>
                    <w:right w:val="nil"/>
                  </w:tcBorders>
                </w:tcPr>
                <w:p w14:paraId="4CB96371" w14:textId="77777777" w:rsidR="002E3CAC" w:rsidRDefault="002E3CAC" w:rsidP="002E3CAC">
                  <w:pPr>
                    <w:pStyle w:val="Reportheader"/>
                    <w:widowControl/>
                    <w:rPr>
                      <w:sz w:val="20"/>
                      <w:szCs w:val="20"/>
                    </w:rPr>
                  </w:pPr>
                  <w:r>
                    <w:rPr>
                      <w:sz w:val="20"/>
                      <w:szCs w:val="20"/>
                    </w:rPr>
                    <w:t>200-857-2</w:t>
                  </w:r>
                </w:p>
                <w:p w14:paraId="7F28B4B9" w14:textId="77777777" w:rsidR="002E3CAC" w:rsidRDefault="002E3CAC" w:rsidP="002E3CAC">
                  <w:pPr>
                    <w:pStyle w:val="Reportheader"/>
                    <w:widowControl/>
                    <w:rPr>
                      <w:sz w:val="20"/>
                      <w:szCs w:val="20"/>
                    </w:rPr>
                  </w:pPr>
                  <w:r>
                    <w:rPr>
                      <w:sz w:val="20"/>
                      <w:szCs w:val="20"/>
                    </w:rPr>
                    <w:t>01-2119485395-27-XXXX</w:t>
                  </w:r>
                </w:p>
              </w:tc>
            </w:tr>
          </w:tbl>
          <w:p w14:paraId="329EE942" w14:textId="77777777" w:rsidR="002E3CAC" w:rsidRDefault="002E3CAC" w:rsidP="002E3CAC">
            <w:pPr>
              <w:pStyle w:val="Reportheader"/>
              <w:widowControl/>
              <w:rPr>
                <w:sz w:val="20"/>
                <w:szCs w:val="20"/>
              </w:rPr>
            </w:pPr>
          </w:p>
        </w:tc>
        <w:tc>
          <w:tcPr>
            <w:tcW w:w="3232" w:type="dxa"/>
            <w:tcBorders>
              <w:top w:val="single" w:sz="6" w:space="0" w:color="000000"/>
              <w:left w:val="single" w:sz="6" w:space="0" w:color="000000"/>
              <w:bottom w:val="single" w:sz="6" w:space="0" w:color="000000"/>
              <w:right w:val="single" w:sz="6" w:space="0" w:color="000000"/>
            </w:tcBorders>
          </w:tcPr>
          <w:p w14:paraId="15674CB7" w14:textId="77777777" w:rsidR="002E3CAC" w:rsidRPr="002C4D2B" w:rsidRDefault="00EA7600" w:rsidP="002E3CAC">
            <w:pPr>
              <w:pStyle w:val="Reportheader"/>
              <w:widowControl/>
              <w:rPr>
                <w:sz w:val="20"/>
                <w:szCs w:val="20"/>
                <w:lang w:val="en-US"/>
              </w:rPr>
            </w:pPr>
            <w:r>
              <w:rPr>
                <w:sz w:val="20"/>
                <w:szCs w:val="20"/>
              </w:rPr>
              <w:drawing>
                <wp:inline distT="0" distB="0" distL="0" distR="0" wp14:anchorId="021AF7DA" wp14:editId="5FA31207">
                  <wp:extent cx="180975" cy="18097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t>2.2/1 Flam. Gas 1 H220</w:t>
              <w:br/>
              <w:t>2.5 Press. Gas H280</w:t>
            </w:r>
            <w:r w:rsidR="002E3CAC" w:rsidRPr="002C4D2B">
              <w:rPr>
                <w:sz w:val="20"/>
                <w:szCs w:val="20"/>
                <w:lang w:val="en-US"/>
              </w:rPr>
            </w:r>
            <w:r>
              <w:rPr>
                <w:sz w:val="20"/>
                <w:szCs w:val="20"/>
              </w:rPr>
              <w:drawing>
                <wp:inline distT="0" distB="0" distL="0" distR="0" wp14:anchorId="0DF77A5A" wp14:editId="6A1D9713">
                  <wp:extent cx="180975" cy="18097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E3CAC" w:rsidRPr="002C4D2B">
              <w:rPr>
                <w:sz w:val="20"/>
                <w:szCs w:val="20"/>
                <w:lang w:val="en-US"/>
              </w:rPr>
            </w:r>
          </w:p>
        </w:tc>
      </w:tr>
    </w:tbl>
    <w:p w14:paraId="33C06A3A" w14:textId="77777777" w:rsidR="00274771" w:rsidRPr="002C4D2B" w:rsidRDefault="00274771">
      <w:pPr>
        <w:pStyle w:val="SDStext"/>
        <w:widowControl/>
        <w:ind w:left="566"/>
        <w:rPr>
          <w:lang w:val="en-US"/>
        </w:rPr>
      </w:pPr>
    </w:p>
    <w:p w14:paraId="77B805DD" w14:textId="77777777" w:rsidR="00274771" w:rsidRPr="002C4D2B" w:rsidRDefault="00274771">
      <w:pPr>
        <w:pStyle w:val="SDStext"/>
        <w:widowControl/>
        <w:ind w:left="566"/>
        <w:rPr>
          <w:lang w:val="en-US"/>
        </w:rPr>
      </w:pPr>
    </w:p>
    <w:p w14:paraId="69C5E479" w14:textId="77777777" w:rsidR="00274771" w:rsidRPr="002C4D2B" w:rsidRDefault="00EA7600">
      <w:pPr>
        <w:pStyle w:val="Sectiontitle"/>
        <w:widowControl/>
        <w:rPr>
          <w:lang w:val="en-US"/>
        </w:rPr>
      </w:pPr>
      <w:r>
        <mc:AlternateContent>
          <mc:Choice Requires="wps">
            <w:drawing>
              <wp:anchor distT="0" distB="0" distL="114300" distR="114300" simplePos="0" relativeHeight="251652608" behindDoc="1" locked="0" layoutInCell="0" allowOverlap="1" wp14:anchorId="0C399F94" wp14:editId="19ABA4EB">
                <wp:simplePos x="0" y="0"/>
                <wp:positionH relativeFrom="column">
                  <wp:posOffset>-35560</wp:posOffset>
                </wp:positionH>
                <wp:positionV relativeFrom="paragraph">
                  <wp:posOffset>0</wp:posOffset>
                </wp:positionV>
                <wp:extent cx="6065520" cy="635"/>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87C0CF"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" o:allowincell="f" strokeweight=".25pt"/>
            </w:pict>
          </mc:Fallback>
        </mc:AlternateContent>
      </w:r>
      <w:r w:rsidR="00274771" w:rsidRPr="002C4D2B">
        <w:rPr>
          <w:lang w:val="en-US"/>
        </w:rPr>
        <w:t>SECTION 4 : Premiers secours</w:t>
      </w:r>
    </w:p>
    <w:p w14:paraId="67DAD317" w14:textId="77777777" w:rsidR="00274771" w:rsidRPr="002C4D2B" w:rsidRDefault="00274771">
      <w:pPr>
        <w:pStyle w:val="SDStext"/>
        <w:widowControl/>
        <w:ind w:left="566"/>
        <w:rPr>
          <w:lang w:val="en-US"/>
        </w:rPr>
      </w:pPr>
      <w:r>
        <w:t>4.1. Description des premiers secours</w:t>
      </w:r>
    </w:p>
    <w:p w14:paraId="50E11117" w14:textId="77777777" w:rsidR="00274771" w:rsidRPr="002C4D2B" w:rsidRDefault="00274771">
      <w:pPr>
        <w:pStyle w:val="SDStext"/>
        <w:widowControl/>
        <w:ind w:left="566"/>
        <w:rPr>
          <w:lang w:val="en-US"/>
        </w:rPr>
      </w:pPr>
      <w:r>
        <w:t>En cas de contact avec la peau :</w:t>
      </w:r>
    </w:p>
    <w:p w14:paraId="6559833C" w14:textId="77777777" w:rsidR="00274771" w:rsidRPr="002C4D2B" w:rsidRDefault="00274771">
      <w:pPr>
        <w:pStyle w:val="SDStext"/>
        <w:widowControl/>
        <w:ind w:left="1133"/>
        <w:rPr>
          <w:lang w:val="en-US"/>
        </w:rPr>
      </w:pPr>
      <w:r>
        <w:t>Retirer immédiatement les vêtements contaminés.</w:t>
      </w:r>
    </w:p>
    <w:p w14:paraId="360C7382" w14:textId="77777777" w:rsidR="00274771" w:rsidRPr="002C4D2B" w:rsidRDefault="00274771">
      <w:pPr>
        <w:pStyle w:val="SDStext"/>
        <w:widowControl/>
        <w:ind w:left="1133"/>
        <w:rPr>
          <w:lang w:val="en-US"/>
        </w:rPr>
      </w:pPr>
      <w:r>
        <w:t>Laver immédiatement et abondamment à l’eau courante, et éventuellement au savon, toutes les zones du corps ayant été en contact avec le produit, même en cas de simple suspicion.</w:t>
      </w:r>
    </w:p>
    <w:p w14:paraId="16B80C7C" w14:textId="77777777" w:rsidR="00274771" w:rsidRPr="002C4D2B" w:rsidRDefault="00274771">
      <w:pPr>
        <w:pStyle w:val="SDStext"/>
        <w:widowControl/>
        <w:ind w:left="1133"/>
        <w:rPr>
          <w:lang w:val="en-US"/>
        </w:rPr>
      </w:pPr>
      <w:r>
        <w:t>Laver entièrement le corps (douche ou bain).</w:t>
      </w:r>
    </w:p>
    <w:p w14:paraId="2DC3A4C0" w14:textId="77777777" w:rsidR="00274771" w:rsidRPr="002C4D2B" w:rsidRDefault="00274771">
      <w:pPr>
        <w:pStyle w:val="SDStext"/>
        <w:widowControl/>
        <w:ind w:left="1133"/>
        <w:rPr>
          <w:lang w:val="en-US"/>
        </w:rPr>
      </w:pPr>
      <w:r>
        <w:t>Retirer immédiatement les vêtements contaminés et les éliminer en toute sécurité.</w:t>
      </w:r>
    </w:p>
    <w:p w14:paraId="459419F7" w14:textId="77777777" w:rsidR="00274771" w:rsidRPr="002C4D2B" w:rsidRDefault="00274771">
      <w:pPr>
        <w:pStyle w:val="SDStext"/>
        <w:widowControl/>
        <w:ind w:left="1133"/>
        <w:rPr>
          <w:lang w:val="en-US"/>
        </w:rPr>
      </w:pPr>
      <w:r>
        <w:t>En cas de contact avec la peau, laver immédiatement et abondamment à l’eau et au savon.</w:t>
      </w:r>
    </w:p>
    <w:p w14:paraId="5DB4E5C1" w14:textId="77777777" w:rsidR="00274771" w:rsidRPr="002C4D2B" w:rsidRDefault="00274771">
      <w:pPr>
        <w:pStyle w:val="SDStext"/>
        <w:widowControl/>
        <w:ind w:left="566"/>
        <w:rPr>
          <w:lang w:val="en-US"/>
        </w:rPr>
      </w:pPr>
      <w:r>
        <w:t>En cas de contact avec les yeux :</w:t>
      </w:r>
    </w:p>
    <w:p w14:paraId="7FDF12D2" w14:textId="77777777" w:rsidR="00274771" w:rsidRPr="002C4D2B" w:rsidRDefault="00274771">
      <w:pPr>
        <w:pStyle w:val="SDStext"/>
        <w:widowControl/>
        <w:ind w:left="1133"/>
        <w:rPr>
          <w:lang w:val="en-US"/>
        </w:rPr>
      </w:pPr>
      <w:r>
        <w:t>En cas de contact avec les yeux, rincer à l’eau pendant une durée appropriée en maintenant les paupières ouvertes, puis consulter immédiatement un ophtalmologiste.</w:t>
      </w:r>
    </w:p>
    <w:p w14:paraId="2BE21034" w14:textId="77777777" w:rsidR="00274771" w:rsidRPr="002C4D2B" w:rsidRDefault="00274771">
      <w:pPr>
        <w:pStyle w:val="SDStext"/>
        <w:widowControl/>
        <w:ind w:left="1133"/>
        <w:rPr>
          <w:lang w:val="en-US"/>
        </w:rPr>
      </w:pPr>
      <w:r>
        <w:t>Protéger l’œil non atteint.</w:t>
      </w:r>
    </w:p>
    <w:p w14:paraId="1A9475EE" w14:textId="77777777" w:rsidR="00274771" w:rsidRPr="002C4D2B" w:rsidRDefault="00274771">
      <w:pPr>
        <w:pStyle w:val="SDStext"/>
        <w:widowControl/>
        <w:ind w:left="566"/>
        <w:rPr>
          <w:lang w:val="en-US"/>
        </w:rPr>
      </w:pPr>
      <w:r>
        <w:t>En cas d’ingestion :</w:t>
      </w:r>
    </w:p>
    <w:p w14:paraId="4C7CF989" w14:textId="77777777" w:rsidR="00274771" w:rsidRPr="002C4D2B" w:rsidRDefault="00274771">
      <w:pPr>
        <w:pStyle w:val="SDStext"/>
        <w:widowControl/>
        <w:ind w:left="1133"/>
        <w:rPr>
          <w:lang w:val="en-US"/>
        </w:rPr>
      </w:pPr>
      <w:r>
        <w:t>Ne pas faire vomir. CONSULTER IMMÉDIATEMENT UN MÉDECIN.</w:t>
      </w:r>
    </w:p>
    <w:p w14:paraId="717DE0F2" w14:textId="77777777" w:rsidR="00274771" w:rsidRPr="002C4D2B" w:rsidRDefault="00274771">
      <w:pPr>
        <w:pStyle w:val="SDStext"/>
        <w:widowControl/>
        <w:ind w:left="566"/>
        <w:rPr>
          <w:lang w:val="en-US"/>
        </w:rPr>
      </w:pPr>
      <w:r>
        <w:t>En cas d’inhalation :</w:t>
      </w:r>
    </w:p>
    <w:p w14:paraId="052B9E80" w14:textId="77777777" w:rsidR="00274771" w:rsidRPr="002C4D2B" w:rsidRDefault="00274771">
      <w:pPr>
        <w:pStyle w:val="SDStext"/>
        <w:widowControl/>
        <w:ind w:left="1133"/>
        <w:rPr>
          <w:lang w:val="en-US"/>
        </w:rPr>
      </w:pPr>
      <w:r>
        <w:t>Transporter la personne accidentée à l’air frais et la maintenir au chaud et au repos.</w:t>
      </w:r>
    </w:p>
    <w:p w14:paraId="756C4E44" w14:textId="77777777" w:rsidR="00274771" w:rsidRPr="002C4D2B" w:rsidRDefault="00274771">
      <w:pPr>
        <w:pStyle w:val="SDStext"/>
        <w:widowControl/>
        <w:ind w:left="566"/>
        <w:rPr>
          <w:lang w:val="en-US"/>
        </w:rPr>
      </w:pPr>
      <w:r>
        <w:t>4.2. Principaux symptômes et effets, aigus et différés</w:t>
      </w:r>
    </w:p>
    <w:p w14:paraId="570388A1" w14:textId="77777777" w:rsidR="00274771" w:rsidRPr="002C4D2B" w:rsidRDefault="00274771">
      <w:pPr>
        <w:pStyle w:val="SDStext"/>
        <w:widowControl/>
        <w:ind w:left="1133"/>
        <w:rPr>
          <w:lang w:val="en-US"/>
        </w:rPr>
      </w:pPr>
      <w:r>
        <w:t>Aucun</w:t>
      </w:r>
    </w:p>
    <w:p w14:paraId="3D9D6121" w14:textId="77777777" w:rsidR="00274771" w:rsidRPr="002C4D2B" w:rsidRDefault="00274771">
      <w:pPr>
        <w:pStyle w:val="SDStext"/>
        <w:widowControl/>
        <w:ind w:left="566"/>
        <w:rPr>
          <w:lang w:val="en-US"/>
        </w:rPr>
      </w:pPr>
      <w:r>
        <w:t>4.3. Indication des éventuels soins médicaux immédiats et traitements particuliers nécessaires</w:t>
      </w:r>
    </w:p>
    <w:p w14:paraId="59A40441" w14:textId="77777777" w:rsidR="00274771" w:rsidRPr="002C4D2B" w:rsidRDefault="00274771">
      <w:pPr>
        <w:pStyle w:val="SDStext"/>
        <w:widowControl/>
        <w:ind w:left="1133"/>
        <w:rPr>
          <w:lang w:val="en-US"/>
        </w:rPr>
      </w:pPr>
      <w:r>
        <w:t>En cas d’accident ou de malaise, consulter immédiatement un médecin (montrer si possible le mode d’emploi ou la fiche de données de sécurité).</w:t>
      </w:r>
    </w:p>
    <w:p w14:paraId="04442695" w14:textId="77777777" w:rsidR="00274771" w:rsidRPr="002C4D2B" w:rsidRDefault="00274771">
      <w:pPr>
        <w:pStyle w:val="SDStext"/>
        <w:widowControl/>
        <w:ind w:left="1133"/>
        <w:rPr>
          <w:lang w:val="en-US"/>
        </w:rPr>
      </w:pPr>
      <w:r>
        <w:t>Traitement :</w:t>
      </w:r>
    </w:p>
    <w:p w14:paraId="4588C3FF" w14:textId="77777777" w:rsidR="00274771" w:rsidRPr="002C4D2B" w:rsidRDefault="00274771">
      <w:pPr>
        <w:pStyle w:val="SDStext"/>
        <w:widowControl/>
        <w:ind w:left="1133"/>
        <w:rPr>
          <w:lang w:val="en-US"/>
        </w:rPr>
      </w:pPr>
      <w:r>
        <w:t>Aucun</w:t>
      </w:r>
    </w:p>
    <w:p w14:paraId="2AD3EB60" w14:textId="77777777" w:rsidR="00274771" w:rsidRPr="002C4D2B" w:rsidRDefault="00274771">
      <w:pPr>
        <w:pStyle w:val="SDStext"/>
        <w:widowControl/>
        <w:ind w:left="1133"/>
        <w:rPr>
          <w:lang w:val="en-US"/>
        </w:rPr>
      </w:pPr>
    </w:p>
    <w:p w14:paraId="1EF97E45" w14:textId="77777777" w:rsidR="00274771" w:rsidRPr="002C4D2B" w:rsidRDefault="00EA7600">
      <w:pPr>
        <w:pStyle w:val="Sectiontitle"/>
        <w:widowControl/>
        <w:rPr>
          <w:lang w:val="en-US"/>
        </w:rPr>
      </w:pPr>
      <w:r>
        <mc:AlternateContent>
          <mc:Choice Requires="wps">
            <w:drawing>
              <wp:anchor distT="0" distB="0" distL="114300" distR="114300" simplePos="0" relativeHeight="251653632" behindDoc="1" locked="0" layoutInCell="0" allowOverlap="1" wp14:anchorId="68E28F07" wp14:editId="56960092">
                <wp:simplePos x="0" y="0"/>
                <wp:positionH relativeFrom="column">
                  <wp:posOffset>-35560</wp:posOffset>
                </wp:positionH>
                <wp:positionV relativeFrom="paragraph">
                  <wp:posOffset>0</wp:posOffset>
                </wp:positionV>
                <wp:extent cx="6065520" cy="635"/>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862D9"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B8IgiTHAQAAeg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5 : Mesures de lutte contre l’incendie</w:t>
      </w:r>
    </w:p>
    <w:p w14:paraId="646DDFFA" w14:textId="77777777" w:rsidR="00274771" w:rsidRPr="002C4D2B" w:rsidRDefault="00274771">
      <w:pPr>
        <w:pStyle w:val="SDStext"/>
        <w:widowControl/>
        <w:ind w:left="566"/>
        <w:rPr>
          <w:lang w:val="en-US"/>
        </w:rPr>
      </w:pPr>
      <w:r>
        <w:t>5.1. Moyens d’extinction</w:t>
      </w:r>
    </w:p>
    <w:p w14:paraId="66365B86" w14:textId="77777777" w:rsidR="00274771" w:rsidRPr="002C4D2B" w:rsidRDefault="00274771">
      <w:pPr>
        <w:pStyle w:val="SDStext"/>
        <w:widowControl/>
        <w:ind w:left="1133"/>
        <w:rPr>
          <w:lang w:val="en-US"/>
        </w:rPr>
      </w:pPr>
      <w:r>
        <w:t>Moyens d’extinction appropriés :</w:t>
      </w:r>
    </w:p>
    <w:p w14:paraId="4E621E7D" w14:textId="77777777" w:rsidR="00274771" w:rsidRPr="002C4D2B" w:rsidRDefault="00274771">
      <w:pPr>
        <w:pStyle w:val="SDStext"/>
        <w:widowControl/>
        <w:ind w:left="1133"/>
        <w:rPr>
          <w:lang w:val="en-US"/>
        </w:rPr>
      </w:pPr>
      <w:r>
        <w:t>CO2 ou extincteur à poudre.</w:t>
      </w:r>
    </w:p>
    <w:p w14:paraId="25387016" w14:textId="77777777" w:rsidR="00274771" w:rsidRPr="002C4D2B" w:rsidRDefault="00274771">
      <w:pPr>
        <w:pStyle w:val="SDStext"/>
        <w:widowControl/>
        <w:ind w:left="1133"/>
        <w:rPr>
          <w:lang w:val="en-US"/>
        </w:rPr>
      </w:pPr>
      <w:r>
        <w:t>Moyens d’extinction à ne pas utiliser pour des raisons de sécurité :</w:t>
      </w:r>
    </w:p>
    <w:p w14:paraId="0130CB32" w14:textId="77777777" w:rsidR="00274771" w:rsidRPr="002C4D2B" w:rsidRDefault="00274771">
      <w:pPr>
        <w:pStyle w:val="SDStext"/>
        <w:widowControl/>
        <w:ind w:left="1133"/>
        <w:rPr>
          <w:lang w:val="en-US"/>
        </w:rPr>
      </w:pPr>
      <w:r>
        <w:t>Aucun en particulier.</w:t>
      </w:r>
    </w:p>
    <w:p w14:paraId="47EFF06A" w14:textId="77777777" w:rsidR="00274771" w:rsidRPr="002C4D2B" w:rsidRDefault="00274771">
      <w:pPr>
        <w:pStyle w:val="SDStext"/>
        <w:widowControl/>
        <w:ind w:left="566"/>
        <w:rPr>
          <w:lang w:val="en-US"/>
        </w:rPr>
      </w:pPr>
      <w:r>
        <w:t>5.2. Dangers particuliers résultant de la substance ou du mélange</w:t>
      </w:r>
    </w:p>
    <w:p w14:paraId="5AE6F5A3" w14:textId="77777777" w:rsidR="00274771" w:rsidRPr="002C4D2B" w:rsidRDefault="00274771">
      <w:pPr>
        <w:pStyle w:val="SDStext"/>
        <w:widowControl/>
        <w:ind w:left="1133"/>
        <w:rPr>
          <w:lang w:val="en-US"/>
        </w:rPr>
      </w:pPr>
      <w:r>
        <w:t>Ne pas inhaler les gaz produits par l’explosion et la combustion.</w:t>
      </w:r>
    </w:p>
    <w:p w14:paraId="696A5F6E" w14:textId="77777777" w:rsidR="00274771" w:rsidRPr="002C4D2B" w:rsidRDefault="00274771">
      <w:pPr>
        <w:pStyle w:val="SDStext"/>
        <w:widowControl/>
        <w:ind w:left="1133"/>
        <w:rPr>
          <w:lang w:val="en-US"/>
        </w:rPr>
      </w:pPr>
      <w:r>
        <w:t>La combustion produit une fumée dense.</w:t>
      </w:r>
    </w:p>
    <w:p w14:paraId="30DBEA69" w14:textId="77777777" w:rsidR="00274771" w:rsidRPr="002C4D2B" w:rsidRDefault="00274771">
      <w:pPr>
        <w:pStyle w:val="SDStext"/>
        <w:widowControl/>
        <w:ind w:left="566"/>
        <w:rPr>
          <w:lang w:val="en-US"/>
        </w:rPr>
      </w:pPr>
      <w:r>
        <w:t>5.3. Conseils aux pompiers</w:t>
      </w:r>
    </w:p>
    <w:p w14:paraId="7FBC83C0" w14:textId="77777777" w:rsidR="00274771" w:rsidRPr="002C4D2B" w:rsidRDefault="00274771">
      <w:pPr>
        <w:pStyle w:val="SDStext"/>
        <w:widowControl/>
        <w:ind w:left="1133"/>
        <w:rPr>
          <w:lang w:val="en-US"/>
        </w:rPr>
      </w:pPr>
      <w:r>
        <w:t>Utiliser un équipement respiratoire approprié.</w:t>
      </w:r>
    </w:p>
    <w:p w14:paraId="7E175322" w14:textId="77777777" w:rsidR="00274771" w:rsidRPr="002C4D2B" w:rsidRDefault="00274771">
      <w:pPr>
        <w:pStyle w:val="SDStext"/>
        <w:widowControl/>
        <w:ind w:left="1133"/>
        <w:rPr>
          <w:lang w:val="en-US"/>
        </w:rPr>
      </w:pPr>
      <w:r>
        <w:t>Recueillir séparément les eaux d’extinction contaminées. Ne pas les rejeter dans le réseau d’égouts.</w:t>
      </w:r>
    </w:p>
    <w:p w14:paraId="5FDD3F41" w14:textId="77777777" w:rsidR="00274771" w:rsidRPr="002C4D2B" w:rsidRDefault="00274771">
      <w:pPr>
        <w:pStyle w:val="SDStext"/>
        <w:widowControl/>
        <w:ind w:left="1133"/>
        <w:rPr>
          <w:lang w:val="en-US"/>
        </w:rPr>
      </w:pPr>
      <w:r>
        <w:t>Si cela peut être fait sans danger, retirer les récipients non endommagés de la zone de danger immédiat.</w:t>
      </w:r>
    </w:p>
    <w:p w14:paraId="45D07CDA" w14:textId="77777777" w:rsidR="00274771" w:rsidRPr="002C4D2B" w:rsidRDefault="00274771">
      <w:pPr>
        <w:pStyle w:val="SDStext"/>
        <w:widowControl/>
        <w:ind w:left="1133"/>
        <w:rPr>
          <w:lang w:val="en-US"/>
        </w:rPr>
      </w:pPr>
    </w:p>
    <w:p w14:paraId="6A5281AC" w14:textId="77777777" w:rsidR="00274771" w:rsidRPr="002C4D2B" w:rsidRDefault="00EA7600">
      <w:pPr>
        <w:pStyle w:val="Sectiontitle"/>
        <w:widowControl/>
        <w:rPr>
          <w:lang w:val="en-US"/>
        </w:rPr>
      </w:pPr>
      <w:r>
        <mc:AlternateContent>
          <mc:Choice Requires="wps">
            <w:drawing>
              <wp:anchor distT="0" distB="0" distL="114300" distR="114300" simplePos="0" relativeHeight="251654656" behindDoc="1" locked="0" layoutInCell="0" allowOverlap="1" wp14:anchorId="53A0B2A3" wp14:editId="56F1E9A3">
                <wp:simplePos x="0" y="0"/>
                <wp:positionH relativeFrom="column">
                  <wp:posOffset>-35560</wp:posOffset>
                </wp:positionH>
                <wp:positionV relativeFrom="paragraph">
                  <wp:posOffset>0</wp:posOffset>
                </wp:positionV>
                <wp:extent cx="6065520" cy="635"/>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4C13F"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FBJPVHHAQAAeg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6 : Mesures à prendre en cas de dispersion accidentelle</w:t>
      </w:r>
    </w:p>
    <w:p w14:paraId="7A459273" w14:textId="77777777" w:rsidR="00274771" w:rsidRPr="002C4D2B" w:rsidRDefault="00274771">
      <w:pPr>
        <w:pStyle w:val="SDStext"/>
        <w:widowControl/>
        <w:ind w:left="566"/>
        <w:rPr>
          <w:lang w:val="en-US"/>
        </w:rPr>
      </w:pPr>
      <w:r>
        <w:t>6.1. Précautions individuelles, équipement de protection et procédures d’urgence</w:t>
      </w:r>
    </w:p>
    <w:p w14:paraId="5A10465A" w14:textId="77777777" w:rsidR="00274771" w:rsidRPr="002C4D2B" w:rsidRDefault="00274771">
      <w:pPr>
        <w:pStyle w:val="SDStext"/>
        <w:widowControl/>
        <w:ind w:left="1133"/>
        <w:rPr>
          <w:lang w:val="en-US"/>
        </w:rPr>
      </w:pPr>
      <w:r>
        <w:t>Porter un équipement de protection individuelle.</w:t>
      </w:r>
    </w:p>
    <w:p w14:paraId="3D67DF36" w14:textId="77777777" w:rsidR="00274771" w:rsidRPr="002C4D2B" w:rsidRDefault="00274771">
      <w:pPr>
        <w:pStyle w:val="SDStext"/>
        <w:widowControl/>
        <w:ind w:left="1133"/>
        <w:rPr>
          <w:lang w:val="en-US"/>
        </w:rPr>
      </w:pPr>
      <w:r>
        <w:t>Éliminer toutes les sources d’ignition.</w:t>
      </w:r>
    </w:p>
    <w:p w14:paraId="54EADF67" w14:textId="77777777" w:rsidR="00274771" w:rsidRPr="002C4D2B" w:rsidRDefault="00274771">
      <w:pPr>
        <w:pStyle w:val="SDStext"/>
        <w:widowControl/>
        <w:ind w:left="1133"/>
        <w:rPr>
          <w:lang w:val="en-US"/>
        </w:rPr>
      </w:pPr>
      <w:r>
        <w:t>Mettre les personnes en sécurité.</w:t>
      </w:r>
    </w:p>
    <w:p w14:paraId="51894284" w14:textId="77777777" w:rsidR="00274771" w:rsidRPr="002C4D2B" w:rsidRDefault="00274771">
      <w:pPr>
        <w:pStyle w:val="SDStext"/>
        <w:widowControl/>
        <w:ind w:left="1133"/>
        <w:rPr>
          <w:lang w:val="en-US"/>
        </w:rPr>
      </w:pPr>
      <w:r>
        <w:t>Voir les mesures de protection indiquées aux points 7 et 8.</w:t>
      </w:r>
    </w:p>
    <w:p w14:paraId="19C9A277" w14:textId="77777777" w:rsidR="00274771" w:rsidRPr="002C4D2B" w:rsidRDefault="00274771">
      <w:pPr>
        <w:pStyle w:val="SDStext"/>
        <w:widowControl/>
        <w:ind w:left="566"/>
        <w:rPr>
          <w:lang w:val="en-US"/>
        </w:rPr>
      </w:pPr>
      <w:r>
        <w:t>6.2. Précautions pour la protection de l’environnement</w:t>
      </w:r>
    </w:p>
    <w:p w14:paraId="676A60E8" w14:textId="77777777" w:rsidR="00274771" w:rsidRPr="002C4D2B" w:rsidRDefault="00274771">
      <w:pPr>
        <w:pStyle w:val="SDStext"/>
        <w:widowControl/>
        <w:ind w:left="1133"/>
        <w:rPr>
          <w:lang w:val="en-US"/>
        </w:rPr>
      </w:pPr>
      <w:r>
        <w:t>Éviter la pénétration dans le sol/sous-sol. Empêcher l’écoulement dans les eaux de surface ou le réseau d’égouts.</w:t>
      </w:r>
    </w:p>
    <w:p w14:paraId="77148E87" w14:textId="77777777" w:rsidR="00274771" w:rsidRPr="002C4D2B" w:rsidRDefault="00274771">
      <w:pPr>
        <w:pStyle w:val="SDStext"/>
        <w:widowControl/>
        <w:ind w:left="1133"/>
        <w:rPr>
          <w:lang w:val="en-US"/>
        </w:rPr>
      </w:pPr>
      <w:r>
        <w:t>Retenir les eaux de lavage contaminées et les éliminer.</w:t>
      </w:r>
    </w:p>
    <w:p w14:paraId="6AACC09C" w14:textId="77777777" w:rsidR="00274771" w:rsidRPr="002C4D2B" w:rsidRDefault="00274771">
      <w:pPr>
        <w:pStyle w:val="SDStext"/>
        <w:widowControl/>
        <w:ind w:left="1133"/>
        <w:rPr>
          <w:lang w:val="en-US"/>
        </w:rPr>
      </w:pPr>
      <w:r>
        <w:t>En cas de fuite de gaz ou de pénétration dans les cours d’eau, le sol ou le réseau d’égouts, informer les autorités compétentes.</w:t>
      </w:r>
    </w:p>
    <w:p w14:paraId="00660C59" w14:textId="77777777" w:rsidR="00274771" w:rsidRPr="002C4D2B" w:rsidRDefault="00274771">
      <w:pPr>
        <w:pStyle w:val="SDStext"/>
        <w:widowControl/>
        <w:ind w:left="1133"/>
        <w:rPr>
          <w:lang w:val="en-US"/>
        </w:rPr>
      </w:pPr>
      <w:r>
        <w:t>Matériau approprié pour la collecte : matériau absorbant, matière organique, sable</w:t>
      </w:r>
    </w:p>
    <w:p w14:paraId="65F4667B" w14:textId="77777777" w:rsidR="00274771" w:rsidRPr="002C4D2B" w:rsidRDefault="00274771">
      <w:pPr>
        <w:pStyle w:val="SDStext"/>
        <w:widowControl/>
        <w:ind w:left="566"/>
        <w:rPr>
          <w:lang w:val="en-US"/>
        </w:rPr>
      </w:pPr>
      <w:r>
        <w:t>6.3. Méthodes et matériel de confinement et de nettoyage</w:t>
      </w:r>
    </w:p>
    <w:p w14:paraId="6C0C66B5" w14:textId="77777777" w:rsidR="00274771" w:rsidRPr="002C4D2B" w:rsidRDefault="00274771">
      <w:pPr>
        <w:pStyle w:val="SDStext"/>
        <w:widowControl/>
        <w:ind w:left="1133"/>
        <w:rPr>
          <w:lang w:val="en-US"/>
        </w:rPr>
      </w:pPr>
      <w:r>
        <w:t>Laver abondamment à l’eau.</w:t>
      </w:r>
    </w:p>
    <w:p w14:paraId="32CD16CE" w14:textId="77777777" w:rsidR="00274771" w:rsidRPr="002C4D2B" w:rsidRDefault="00274771">
      <w:pPr>
        <w:pStyle w:val="SDStext"/>
        <w:widowControl/>
        <w:ind w:left="566"/>
        <w:rPr>
          <w:lang w:val="en-US"/>
        </w:rPr>
      </w:pPr>
      <w:r>
        <w:t>6.4. Référence à d’autres sections</w:t>
      </w:r>
    </w:p>
    <w:p w14:paraId="00F0A9CB" w14:textId="77777777" w:rsidR="00274771" w:rsidRPr="002C4D2B" w:rsidRDefault="00274771">
      <w:pPr>
        <w:pStyle w:val="SDStext"/>
        <w:widowControl/>
        <w:ind w:left="1133"/>
        <w:rPr>
          <w:lang w:val="en-US"/>
        </w:rPr>
      </w:pPr>
      <w:r>
        <w:t>Voir également les sections 8 et 13</w:t>
      </w:r>
    </w:p>
    <w:p w14:paraId="2BAE72C4" w14:textId="77777777" w:rsidR="00274771" w:rsidRPr="002C4D2B" w:rsidRDefault="00274771">
      <w:pPr>
        <w:pStyle w:val="SDStext"/>
        <w:widowControl/>
        <w:ind w:left="1133"/>
        <w:rPr>
          <w:lang w:val="en-US"/>
        </w:rPr>
      </w:pPr>
    </w:p>
    <w:p w14:paraId="5E758E83" w14:textId="77777777" w:rsidR="00274771" w:rsidRPr="002C4D2B" w:rsidRDefault="00EA7600">
      <w:pPr>
        <w:pStyle w:val="Sectiontitle"/>
        <w:widowControl/>
        <w:rPr>
          <w:lang w:val="en-US"/>
        </w:rPr>
      </w:pPr>
      <w:r>
        <mc:AlternateContent>
          <mc:Choice Requires="wps">
            <w:drawing>
              <wp:anchor distT="0" distB="0" distL="114300" distR="114300" simplePos="0" relativeHeight="251655680" behindDoc="1" locked="0" layoutInCell="0" allowOverlap="1" wp14:anchorId="199CE490" wp14:editId="32F933B1">
                <wp:simplePos x="0" y="0"/>
                <wp:positionH relativeFrom="column">
                  <wp:posOffset>-35560</wp:posOffset>
                </wp:positionH>
                <wp:positionV relativeFrom="paragraph">
                  <wp:posOffset>0</wp:posOffset>
                </wp:positionV>
                <wp:extent cx="6065520" cy="635"/>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D931A1"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L/VPdrHAQAAeg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7 : Manipulation et stockage</w:t>
      </w:r>
    </w:p>
    <w:p w14:paraId="5EE91D9A" w14:textId="77777777" w:rsidR="00274771" w:rsidRPr="002C4D2B" w:rsidRDefault="00274771">
      <w:pPr>
        <w:pStyle w:val="SDStext"/>
        <w:widowControl/>
        <w:ind w:left="566"/>
        <w:rPr>
          <w:lang w:val="en-US"/>
        </w:rPr>
      </w:pPr>
      <w:r>
        <w:t>7.1. Précautions à prendre pour une manipulation sans danger</w:t>
      </w:r>
    </w:p>
    <w:p w14:paraId="30219595" w14:textId="77777777" w:rsidR="00274771" w:rsidRPr="002C4D2B" w:rsidRDefault="00274771">
      <w:pPr>
        <w:pStyle w:val="SDStext"/>
        <w:widowControl/>
        <w:ind w:left="1133"/>
        <w:rPr>
          <w:lang w:val="en-US"/>
        </w:rPr>
      </w:pPr>
      <w:r>
        <w:t>Éviter le contact avec la peau et les yeux ainsi que l’inhalation de vapeurs et de brouillards.</w:t>
      </w:r>
    </w:p>
    <w:p w14:paraId="1374398B" w14:textId="77777777" w:rsidR="00274771" w:rsidRPr="002C4D2B" w:rsidRDefault="00274771">
      <w:pPr>
        <w:pStyle w:val="SDStext"/>
        <w:widowControl/>
        <w:ind w:left="1133"/>
        <w:rPr>
          <w:lang w:val="en-US"/>
        </w:rPr>
      </w:pPr>
      <w:r>
        <w:t>Ne pas utiliser les récipients vides avant qu’ils aient été nettoyés.</w:t>
      </w:r>
    </w:p>
    <w:p w14:paraId="6CD036C0" w14:textId="77777777" w:rsidR="00274771" w:rsidRPr="002C4D2B" w:rsidRDefault="00274771">
      <w:pPr>
        <w:pStyle w:val="SDStext"/>
        <w:widowControl/>
        <w:ind w:left="1133"/>
        <w:rPr>
          <w:lang w:val="en-US"/>
        </w:rPr>
      </w:pPr>
      <w:r>
        <w:t>Avant tout transfert, s’assurer qu’il ne reste pas de matières incompatibles résiduelles dans les récipients.</w:t>
      </w:r>
    </w:p>
    <w:p w14:paraId="0AD158DE" w14:textId="77777777" w:rsidR="00274771" w:rsidRPr="002C4D2B" w:rsidRDefault="00274771">
      <w:pPr>
        <w:pStyle w:val="SDStext"/>
        <w:widowControl/>
        <w:ind w:left="1133"/>
        <w:rPr>
          <w:lang w:val="en-US"/>
        </w:rPr>
      </w:pPr>
      <w:r>
        <w:t>Se référer également au paragraphe 8 pour les dispositifs de protection recommandés.</w:t>
      </w:r>
    </w:p>
    <w:p w14:paraId="1C4AEC88" w14:textId="77777777" w:rsidR="00274771" w:rsidRPr="002C4D2B" w:rsidRDefault="00274771">
      <w:pPr>
        <w:pStyle w:val="SDStext"/>
        <w:widowControl/>
        <w:ind w:left="1133"/>
        <w:rPr>
          <w:lang w:val="en-US"/>
        </w:rPr>
      </w:pPr>
      <w:r>
        <w:t>Recommandations générales relatives à l’hygiène du travail :</w:t>
      </w:r>
    </w:p>
    <w:p w14:paraId="0160D382" w14:textId="77777777" w:rsidR="00274771" w:rsidRPr="002C4D2B" w:rsidRDefault="00274771">
      <w:pPr>
        <w:pStyle w:val="SDStext"/>
        <w:widowControl/>
        <w:ind w:left="1133"/>
        <w:rPr>
          <w:lang w:val="en-US"/>
        </w:rPr>
      </w:pPr>
      <w:r>
        <w:t>Les vêtements contaminés doivent être changés avant d’entrer dans les zones de restauration.</w:t>
      </w:r>
    </w:p>
    <w:p w14:paraId="7A9EDB3E" w14:textId="77777777" w:rsidR="00274771" w:rsidRPr="002C4D2B" w:rsidRDefault="00274771">
      <w:pPr>
        <w:pStyle w:val="SDStext"/>
        <w:widowControl/>
        <w:ind w:left="1133"/>
        <w:rPr>
          <w:lang w:val="en-US"/>
        </w:rPr>
      </w:pPr>
      <w:r>
        <w:t>Ne pas manger ni boire pendant le travail.</w:t>
      </w:r>
    </w:p>
    <w:p w14:paraId="3B4DE27E" w14:textId="77777777" w:rsidR="00274771" w:rsidRPr="002C4D2B" w:rsidRDefault="00274771">
      <w:pPr>
        <w:pStyle w:val="SDStext"/>
        <w:widowControl/>
        <w:ind w:left="566"/>
        <w:rPr>
          <w:lang w:val="en-US"/>
        </w:rPr>
      </w:pPr>
      <w:r>
        <w:t>7.2. Conditions d’un stockage sûr, y compris les incompatibilités</w:t>
      </w:r>
    </w:p>
    <w:p w14:paraId="35F6E2A7" w14:textId="77777777" w:rsidR="00274771" w:rsidRPr="002C4D2B" w:rsidRDefault="00274771">
      <w:pPr>
        <w:pStyle w:val="SDStext"/>
        <w:widowControl/>
        <w:ind w:left="1133"/>
        <w:rPr>
          <w:lang w:val="en-US"/>
        </w:rPr>
      </w:pPr>
      <w:r>
        <w:t>Toujours stocker dans des zones bien ventilées.</w:t>
      </w:r>
    </w:p>
    <w:p w14:paraId="5B61E334" w14:textId="77777777" w:rsidR="00274771" w:rsidRPr="002C4D2B" w:rsidRDefault="00274771">
      <w:pPr>
        <w:pStyle w:val="SDStext"/>
        <w:widowControl/>
        <w:ind w:left="1133"/>
        <w:rPr>
          <w:lang w:val="en-US"/>
        </w:rPr>
      </w:pPr>
      <w:r>
        <w:t>Stocker à une température inférieure à 20 °C. Tenir à l’écart des flammes nues et des sources de chaleur. Éviter la lumière directe du soleil.</w:t>
      </w:r>
    </w:p>
    <w:p w14:paraId="5556271E" w14:textId="77777777" w:rsidR="00274771" w:rsidRPr="002C4D2B" w:rsidRDefault="00274771">
      <w:pPr>
        <w:pStyle w:val="SDStext"/>
        <w:widowControl/>
        <w:ind w:left="1133"/>
        <w:rPr>
          <w:lang w:val="en-US"/>
        </w:rPr>
      </w:pPr>
      <w:r>
        <w:t>Tenir à l’écart des flammes nues, des étincelles et des sources de chaleur. Éviter l’exposition directe au soleil.</w:t>
      </w:r>
    </w:p>
    <w:p w14:paraId="652792F2" w14:textId="77777777" w:rsidR="00274771" w:rsidRPr="002C4D2B" w:rsidRDefault="00274771">
      <w:pPr>
        <w:pStyle w:val="SDStext"/>
        <w:widowControl/>
        <w:ind w:left="1133"/>
        <w:rPr>
          <w:lang w:val="en-US"/>
        </w:rPr>
      </w:pPr>
      <w:r>
        <w:t>Tenir à l’écart des aliments, boissons et aliments pour animaux.</w:t>
      </w:r>
    </w:p>
    <w:p w14:paraId="3A3D4114" w14:textId="77777777" w:rsidR="00274771" w:rsidRPr="002C4D2B" w:rsidRDefault="00274771">
      <w:pPr>
        <w:pStyle w:val="SDStext"/>
        <w:widowControl/>
        <w:ind w:left="1133"/>
        <w:rPr>
          <w:lang w:val="en-US"/>
        </w:rPr>
      </w:pPr>
      <w:r>
        <w:t>Matières incompatibles :</w:t>
      </w:r>
    </w:p>
    <w:p w14:paraId="5AF67D12" w14:textId="77777777" w:rsidR="00274771" w:rsidRPr="002C4D2B" w:rsidRDefault="00274771">
      <w:pPr>
        <w:pStyle w:val="SDStext"/>
        <w:widowControl/>
        <w:ind w:left="1133"/>
        <w:rPr>
          <w:lang w:val="en-US"/>
        </w:rPr>
      </w:pPr>
      <w:r>
        <w:t>Aucune en particulier.</w:t>
      </w:r>
    </w:p>
    <w:p w14:paraId="3D290F74" w14:textId="77777777" w:rsidR="00274771" w:rsidRPr="002C4D2B" w:rsidRDefault="00274771">
      <w:pPr>
        <w:pStyle w:val="SDStext"/>
        <w:widowControl/>
        <w:ind w:left="1133"/>
        <w:rPr>
          <w:lang w:val="en-US"/>
        </w:rPr>
      </w:pPr>
      <w:r>
        <w:t>Indications concernant les locaux :</w:t>
      </w:r>
    </w:p>
    <w:p w14:paraId="6B42AEE7" w14:textId="77777777" w:rsidR="00274771" w:rsidRPr="002C4D2B" w:rsidRDefault="00274771">
      <w:pPr>
        <w:pStyle w:val="SDStext"/>
        <w:widowControl/>
        <w:ind w:left="1133"/>
        <w:rPr>
          <w:lang w:val="en-US"/>
        </w:rPr>
      </w:pPr>
      <w:r>
        <w:t>Frais et correctement ventilés.</w:t>
      </w:r>
    </w:p>
    <w:p w14:paraId="783CC4FB" w14:textId="77777777" w:rsidR="00274771" w:rsidRPr="002C4D2B" w:rsidRDefault="00274771">
      <w:pPr>
        <w:pStyle w:val="SDStext"/>
        <w:widowControl/>
        <w:ind w:left="566"/>
        <w:rPr>
          <w:lang w:val="en-US"/>
        </w:rPr>
      </w:pPr>
      <w:r>
        <w:t>7.3. Utilisation(s) finale(s) particulière(s)</w:t>
      </w:r>
    </w:p>
    <w:p w14:paraId="4E5DD522" w14:textId="77777777" w:rsidR="00274771" w:rsidRPr="002C4D2B" w:rsidRDefault="00274771">
      <w:pPr>
        <w:pStyle w:val="SDStext"/>
        <w:widowControl/>
        <w:ind w:left="1133"/>
        <w:rPr>
          <w:lang w:val="en-US"/>
        </w:rPr>
      </w:pPr>
      <w:r>
        <w:t>Aucune utilisation particulière</w:t>
      </w:r>
    </w:p>
    <w:p w14:paraId="00C64E40" w14:textId="77777777" w:rsidR="00274771" w:rsidRPr="002C4D2B" w:rsidRDefault="00274771">
      <w:pPr>
        <w:pStyle w:val="SDStext"/>
        <w:widowControl/>
        <w:ind w:left="1133"/>
        <w:rPr>
          <w:lang w:val="en-US"/>
        </w:rPr>
      </w:pPr>
    </w:p>
    <w:p w14:paraId="52B49902" w14:textId="77777777" w:rsidR="00274771" w:rsidRPr="002C4D2B" w:rsidRDefault="00EA7600">
      <w:pPr>
        <w:pStyle w:val="Sectiontitle"/>
        <w:widowControl/>
        <w:rPr>
          <w:lang w:val="en-US"/>
        </w:rPr>
      </w:pPr>
      <w:r>
        <w:lastRenderedPageBreak/>
        <mc:AlternateContent>
          <mc:Choice Requires="wps">
            <w:drawing>
              <wp:anchor distT="0" distB="0" distL="114300" distR="114300" simplePos="0" relativeHeight="251656704" behindDoc="1" locked="0" layoutInCell="0" allowOverlap="1" wp14:anchorId="1D40DCCD" wp14:editId="5C637398">
                <wp:simplePos x="0" y="0"/>
                <wp:positionH relativeFrom="column">
                  <wp:posOffset>-35560</wp:posOffset>
                </wp:positionH>
                <wp:positionV relativeFrom="paragraph">
                  <wp:posOffset>0</wp:posOffset>
                </wp:positionV>
                <wp:extent cx="6065520" cy="635"/>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30278"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" o:allowincell="f" strokeweight=".25pt"/>
            </w:pict>
          </mc:Fallback>
        </mc:AlternateContent>
      </w:r>
      <w:r w:rsidR="00274771" w:rsidRPr="002C4D2B">
        <w:rPr>
          <w:lang w:val="en-US"/>
        </w:rPr>
        <w:t>SECTION 8 : Contrôles de l’exposition/protection individuelle</w:t>
      </w:r>
    </w:p>
    <w:p w14:paraId="755EBE90" w14:textId="77777777" w:rsidR="00274771" w:rsidRPr="002C4D2B" w:rsidRDefault="00274771">
      <w:pPr>
        <w:pStyle w:val="SDStext"/>
        <w:widowControl/>
        <w:ind w:left="566"/>
        <w:rPr>
          <w:lang w:val="en-US"/>
        </w:rPr>
      </w:pPr>
      <w:r>
        <w:t>8.1. Paramètres de contrôle</w:t>
      </w:r>
    </w:p>
    <w:p w14:paraId="4EC181A3" w14:textId="77777777" w:rsidR="00274771" w:rsidRDefault="00274771">
      <w:pPr>
        <w:pStyle w:val="SDStext"/>
        <w:widowControl/>
        <w:ind w:left="1133"/>
      </w:pPr>
      <w:r>
        <w:t>acétone ; 2-propanone ; propanone - CAS : 67-64-1</w:t>
      </w:r>
    </w:p>
    <w:p w14:paraId="709736A2" w14:textId="77777777" w:rsidR="00274771" w:rsidRDefault="00274771">
      <w:pPr>
        <w:pStyle w:val="SDStext"/>
        <w:widowControl/>
        <w:ind w:left="1700" w:hanging="566"/>
      </w:pPr>
      <w:r>
        <w:tab/>
        <w:t>UE - TWA (8 h) : 1210 mg/m3, 500 ppm</w:t>
      </w:r>
    </w:p>
    <w:p w14:paraId="7417DEAF" w14:textId="77777777" w:rsidR="00274771" w:rsidRPr="002C4D2B" w:rsidRDefault="00274771">
      <w:pPr>
        <w:pStyle w:val="SDStext"/>
        <w:widowControl/>
        <w:ind w:left="1700" w:hanging="566"/>
        <w:rPr>
          <w:lang w:val="en-US"/>
        </w:rPr>
      </w:pPr>
      <w:r>
        <w:tab/>
        <w:t>ACGIH - TWA (8 h) : 250 ppm - STEL : 500 ppm - Notes : A4, BEI - irritation des voies respiratoires supérieures et des yeux, altération du SNC</w:t>
      </w:r>
    </w:p>
    <w:p w14:paraId="52C6C6E6" w14:textId="77777777" w:rsidR="00274771" w:rsidRPr="002C4D2B" w:rsidRDefault="00274771">
      <w:pPr>
        <w:pStyle w:val="SDStext"/>
        <w:widowControl/>
        <w:ind w:left="1133"/>
        <w:rPr>
          <w:lang w:val="en-US"/>
        </w:rPr>
      </w:pPr>
      <w:r>
        <w:t>propane - CAS : 74-98-6</w:t>
      </w:r>
    </w:p>
    <w:p w14:paraId="2EC951FA" w14:textId="77777777" w:rsidR="00274771" w:rsidRPr="002C4D2B" w:rsidRDefault="00274771">
      <w:pPr>
        <w:pStyle w:val="SDStext"/>
        <w:widowControl/>
        <w:ind w:left="1700" w:hanging="566"/>
        <w:rPr>
          <w:lang w:val="en-US"/>
        </w:rPr>
      </w:pPr>
      <w:r>
        <w:tab/>
        <w:t>ACGIH - Notes : (D, EX) - Asphyxie</w:t>
      </w:r>
    </w:p>
    <w:p w14:paraId="7C5AB749" w14:textId="77777777" w:rsidR="00274771" w:rsidRPr="002C4D2B" w:rsidRDefault="00274771">
      <w:pPr>
        <w:pStyle w:val="SDStext"/>
        <w:widowControl/>
        <w:ind w:left="1133"/>
        <w:rPr>
          <w:lang w:val="en-US"/>
        </w:rPr>
      </w:pPr>
      <w:r>
        <w:t>butane - CAS : 106-97-8</w:t>
      </w:r>
    </w:p>
    <w:p w14:paraId="3F36790F" w14:textId="77777777" w:rsidR="00274771" w:rsidRPr="002C4D2B" w:rsidRDefault="00274771">
      <w:pPr>
        <w:pStyle w:val="SDStext"/>
        <w:widowControl/>
        <w:ind w:left="1700" w:hanging="566"/>
        <w:rPr>
          <w:lang w:val="en-US"/>
        </w:rPr>
      </w:pPr>
      <w:r>
        <w:tab/>
        <w:t>ACGIH - STEL : 1000 ppm - Notes : (EX) - altération du SNC</w:t>
      </w:r>
    </w:p>
    <w:p w14:paraId="27CF12F0" w14:textId="77777777" w:rsidR="00274771" w:rsidRPr="002C4D2B" w:rsidRDefault="00274771">
      <w:pPr>
        <w:pStyle w:val="SDStext"/>
        <w:widowControl/>
        <w:ind w:left="1133"/>
        <w:rPr>
          <w:lang w:val="en-US"/>
        </w:rPr>
      </w:pPr>
      <w:r>
        <w:t>et isobutane - CAS : 75-28-5</w:t>
      </w:r>
    </w:p>
    <w:p w14:paraId="4E163689" w14:textId="77777777" w:rsidR="00274771" w:rsidRPr="002C4D2B" w:rsidRDefault="00274771">
      <w:pPr>
        <w:pStyle w:val="SDStext"/>
        <w:widowControl/>
        <w:ind w:left="1700" w:hanging="566"/>
        <w:rPr>
          <w:lang w:val="en-US"/>
        </w:rPr>
      </w:pPr>
      <w:r>
        <w:tab/>
        <w:t>ACGIH - STEL : 1000 ppm - Notes : (EX) - altération du SNC</w:t>
      </w:r>
    </w:p>
    <w:p w14:paraId="45370C32" w14:textId="77777777" w:rsidR="00274771" w:rsidRPr="002C4D2B" w:rsidRDefault="00274771">
      <w:pPr>
        <w:pStyle w:val="SDStext"/>
        <w:widowControl/>
        <w:ind w:left="566"/>
        <w:rPr>
          <w:lang w:val="en-US"/>
        </w:rPr>
      </w:pPr>
      <w:r>
        <w:t>Valeurs limites d’exposition DNEL</w:t>
      </w:r>
    </w:p>
    <w:p w14:paraId="6BDBBF9D" w14:textId="77777777" w:rsidR="00274771" w:rsidRPr="002C4D2B" w:rsidRDefault="00274771">
      <w:pPr>
        <w:pStyle w:val="SDStext"/>
        <w:widowControl/>
        <w:ind w:left="1133"/>
        <w:rPr>
          <w:lang w:val="en-US"/>
        </w:rPr>
      </w:pPr>
      <w:r>
        <w:t>NA</w:t>
      </w:r>
    </w:p>
    <w:p w14:paraId="6852E7FD" w14:textId="77777777" w:rsidR="00274771" w:rsidRPr="002C4D2B" w:rsidRDefault="00274771">
      <w:pPr>
        <w:pStyle w:val="SDStext"/>
        <w:widowControl/>
        <w:ind w:left="566"/>
        <w:rPr>
          <w:lang w:val="en-US"/>
        </w:rPr>
      </w:pPr>
      <w:r>
        <w:t>Valeurs limites d’exposition PNEC</w:t>
      </w:r>
    </w:p>
    <w:p w14:paraId="4F9ABBC9" w14:textId="77777777" w:rsidR="00274771" w:rsidRPr="002C4D2B" w:rsidRDefault="00274771">
      <w:pPr>
        <w:pStyle w:val="SDStext"/>
        <w:widowControl/>
        <w:ind w:left="1133"/>
        <w:rPr>
          <w:lang w:val="en-US"/>
        </w:rPr>
      </w:pPr>
      <w:r>
        <w:t>NA</w:t>
      </w:r>
    </w:p>
    <w:p w14:paraId="7E22F6EA" w14:textId="77777777" w:rsidR="00274771" w:rsidRPr="002C4D2B" w:rsidRDefault="00274771">
      <w:pPr>
        <w:pStyle w:val="SDStext"/>
        <w:widowControl/>
        <w:ind w:left="566"/>
        <w:rPr>
          <w:lang w:val="en-US"/>
        </w:rPr>
      </w:pPr>
      <w:r>
        <w:t>8.2. Contrôles de l’exposition</w:t>
      </w:r>
    </w:p>
    <w:p w14:paraId="1E677A9A" w14:textId="77777777" w:rsidR="00274771" w:rsidRPr="002C4D2B" w:rsidRDefault="00274771">
      <w:pPr>
        <w:pStyle w:val="SDStext"/>
        <w:widowControl/>
        <w:ind w:left="566"/>
        <w:rPr>
          <w:lang w:val="en-US"/>
        </w:rPr>
      </w:pPr>
      <w:r>
        <w:t>Protection des yeux :</w:t>
      </w:r>
    </w:p>
    <w:p w14:paraId="02D728B6" w14:textId="77777777" w:rsidR="00274771" w:rsidRPr="002C4D2B" w:rsidRDefault="00274771">
      <w:pPr>
        <w:pStyle w:val="SDStext"/>
        <w:widowControl/>
        <w:ind w:left="1133"/>
        <w:rPr>
          <w:lang w:val="en-US"/>
        </w:rPr>
      </w:pPr>
      <w:r>
        <w:t>Utiliser des visières de sécurité fermées ; ne pas utiliser de lentilles oculaires.</w:t>
      </w:r>
    </w:p>
    <w:p w14:paraId="13417B87" w14:textId="77777777" w:rsidR="00274771" w:rsidRPr="002C4D2B" w:rsidRDefault="00274771">
      <w:pPr>
        <w:pStyle w:val="SDStext"/>
        <w:widowControl/>
        <w:ind w:left="566"/>
        <w:rPr>
          <w:lang w:val="en-US"/>
        </w:rPr>
      </w:pPr>
      <w:r>
        <w:t>Protection de la peau :</w:t>
      </w:r>
    </w:p>
    <w:p w14:paraId="522CA05E" w14:textId="77777777" w:rsidR="00274771" w:rsidRPr="002C4D2B" w:rsidRDefault="00274771">
      <w:pPr>
        <w:pStyle w:val="SDStext"/>
        <w:widowControl/>
        <w:ind w:left="1133"/>
        <w:rPr>
          <w:lang w:val="en-US"/>
        </w:rPr>
      </w:pPr>
      <w:r>
        <w:t>Porter des vêtements assurant une protection complète de la peau, par exemple en coton, caoutchouc, PVC ou Viton.</w:t>
      </w:r>
    </w:p>
    <w:p w14:paraId="15111B14" w14:textId="77777777" w:rsidR="00274771" w:rsidRPr="002C4D2B" w:rsidRDefault="00274771">
      <w:pPr>
        <w:pStyle w:val="SDStext"/>
        <w:widowControl/>
        <w:ind w:left="566"/>
        <w:rPr>
          <w:lang w:val="en-US"/>
        </w:rPr>
      </w:pPr>
      <w:r>
        <w:t>Protection des mains :</w:t>
      </w:r>
    </w:p>
    <w:p w14:paraId="4C489B71" w14:textId="77777777" w:rsidR="00274771" w:rsidRPr="002C4D2B" w:rsidRDefault="00274771">
      <w:pPr>
        <w:pStyle w:val="SDStext"/>
        <w:widowControl/>
        <w:ind w:left="1133"/>
        <w:rPr>
          <w:lang w:val="en-US"/>
        </w:rPr>
      </w:pPr>
      <w:r>
        <w:t>Utiliser des gants de protection garantissant une protection totale, par exemple en PVC, néoprène ou caoutchouc.</w:t>
      </w:r>
    </w:p>
    <w:p w14:paraId="18801B57" w14:textId="77777777" w:rsidR="00274771" w:rsidRPr="002C4D2B" w:rsidRDefault="00274771">
      <w:pPr>
        <w:pStyle w:val="SDStext"/>
        <w:widowControl/>
        <w:ind w:left="566"/>
        <w:rPr>
          <w:lang w:val="en-US"/>
        </w:rPr>
      </w:pPr>
      <w:r>
        <w:t>Protection respiratoire :</w:t>
      </w:r>
    </w:p>
    <w:p w14:paraId="05A5918E" w14:textId="77777777" w:rsidR="00274771" w:rsidRPr="002C4D2B" w:rsidRDefault="00274771">
      <w:pPr>
        <w:pStyle w:val="SDStext"/>
        <w:widowControl/>
        <w:ind w:left="1133"/>
        <w:rPr>
          <w:lang w:val="en-US"/>
        </w:rPr>
      </w:pPr>
      <w:r>
        <w:t>Utiliser une protection respiratoire appropriée.</w:t>
      </w:r>
    </w:p>
    <w:p w14:paraId="3BCDA9DC" w14:textId="77777777" w:rsidR="00274771" w:rsidRPr="002C4D2B" w:rsidRDefault="00274771">
      <w:pPr>
        <w:pStyle w:val="SDStext"/>
        <w:widowControl/>
        <w:ind w:left="566"/>
        <w:rPr>
          <w:lang w:val="en-US"/>
        </w:rPr>
      </w:pPr>
      <w:r>
        <w:t>Risques thermiques :</w:t>
      </w:r>
    </w:p>
    <w:p w14:paraId="5BFA3C61" w14:textId="77777777" w:rsidR="00274771" w:rsidRPr="002C4D2B" w:rsidRDefault="00274771">
      <w:pPr>
        <w:pStyle w:val="SDStext"/>
        <w:widowControl/>
        <w:ind w:left="1133"/>
        <w:rPr>
          <w:lang w:val="en-US"/>
        </w:rPr>
      </w:pPr>
      <w:r>
        <w:t>Aucun</w:t>
      </w:r>
    </w:p>
    <w:p w14:paraId="29EB3ED0" w14:textId="77777777" w:rsidR="00274771" w:rsidRPr="002C4D2B" w:rsidRDefault="00274771">
      <w:pPr>
        <w:pStyle w:val="SDStext"/>
        <w:widowControl/>
        <w:ind w:left="566"/>
        <w:rPr>
          <w:lang w:val="en-US"/>
        </w:rPr>
      </w:pPr>
      <w:r>
        <w:t>Contrôles de l’exposition environnementale :</w:t>
      </w:r>
    </w:p>
    <w:p w14:paraId="40D588C8" w14:textId="77777777" w:rsidR="00274771" w:rsidRPr="002C4D2B" w:rsidRDefault="00274771">
      <w:pPr>
        <w:pStyle w:val="SDStext"/>
        <w:widowControl/>
        <w:ind w:left="1133"/>
        <w:rPr>
          <w:lang w:val="en-US"/>
        </w:rPr>
      </w:pPr>
      <w:r>
        <w:t>Aucun</w:t>
      </w:r>
    </w:p>
    <w:p w14:paraId="5AED249D" w14:textId="77777777" w:rsidR="00274771" w:rsidRPr="002C4D2B" w:rsidRDefault="00274771">
      <w:pPr>
        <w:pStyle w:val="SDStext"/>
        <w:widowControl/>
        <w:ind w:left="566"/>
        <w:rPr>
          <w:lang w:val="en-US"/>
        </w:rPr>
      </w:pPr>
      <w:r>
        <w:t>Contrôles techniques appropriés :</w:t>
      </w:r>
    </w:p>
    <w:p w14:paraId="56A29192" w14:textId="77777777" w:rsidR="00274771" w:rsidRPr="002C4D2B" w:rsidRDefault="00274771">
      <w:pPr>
        <w:pStyle w:val="SDStext"/>
        <w:widowControl/>
        <w:ind w:left="1133"/>
        <w:rPr>
          <w:lang w:val="en-US"/>
        </w:rPr>
      </w:pPr>
      <w:r>
        <w:t>Aucun</w:t>
      </w:r>
    </w:p>
    <w:p w14:paraId="35B77584" w14:textId="77777777" w:rsidR="00274771" w:rsidRPr="002C4D2B" w:rsidRDefault="00274771">
      <w:pPr>
        <w:pStyle w:val="SDStext"/>
        <w:widowControl/>
        <w:ind w:left="1133"/>
        <w:rPr>
          <w:lang w:val="en-US"/>
        </w:rPr>
      </w:pPr>
    </w:p>
    <w:p w14:paraId="5A241CDF" w14:textId="77777777" w:rsidR="00274771" w:rsidRPr="002C4D2B" w:rsidRDefault="00EA7600">
      <w:pPr>
        <w:pStyle w:val="Sectiontitle"/>
        <w:widowControl/>
        <w:rPr>
          <w:lang w:val="en-US"/>
        </w:rPr>
      </w:pPr>
      <w:r>
        <mc:AlternateContent>
          <mc:Choice Requires="wps">
            <w:drawing>
              <wp:anchor distT="0" distB="0" distL="114300" distR="114300" simplePos="0" relativeHeight="251657728" behindDoc="1" locked="0" layoutInCell="0" allowOverlap="1" wp14:anchorId="6E56873A" wp14:editId="088EA353">
                <wp:simplePos x="0" y="0"/>
                <wp:positionH relativeFrom="column">
                  <wp:posOffset>-35560</wp:posOffset>
                </wp:positionH>
                <wp:positionV relativeFrom="paragraph">
                  <wp:posOffset>0</wp:posOffset>
                </wp:positionV>
                <wp:extent cx="6065520" cy="635"/>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7B93D"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" o:allowincell="f" strokeweight=".25pt"/>
            </w:pict>
          </mc:Fallback>
        </mc:AlternateContent>
      </w:r>
      <w:r w:rsidR="00274771" w:rsidRPr="002C4D2B">
        <w:rPr>
          <w:lang w:val="en-US"/>
        </w:rPr>
        <w:t>SECTION 9 : Propriétés physiques et chimiques</w:t>
      </w:r>
    </w:p>
    <w:p w14:paraId="367481A3" w14:textId="77777777" w:rsidR="00077952" w:rsidRPr="002C4D2B" w:rsidRDefault="00077952" w:rsidP="00077952">
      <w:pPr>
        <w:autoSpaceDE w:val="0"/>
        <w:autoSpaceDN w:val="0"/>
        <w:adjustRightInd w:val="0"/>
        <w:spacing w:after="0" w:line="240" w:lineRule="auto"/>
        <w:ind w:left="566"/>
        <w:rPr>
          <w:rFonts w:ascii="Arial" w:hAnsi="Arial" w:cs="Arial"/>
          <w:noProof/>
          <w:sz w:val="20"/>
          <w:szCs w:val="20"/>
          <w:lang w:val="en-US"/>
        </w:rPr>
      </w:pPr>
      <w:r>
        <w:t>9.1. Informations sur les propriétés physiques et chimiques essentielles</w:t>
      </w:r>
    </w:p>
    <w:p w14:paraId="2E9E0FE6" w14:textId="77777777" w:rsidR="00077952" w:rsidRPr="002C4D2B" w:rsidRDefault="00077952" w:rsidP="00077952">
      <w:pPr>
        <w:autoSpaceDE w:val="0"/>
        <w:autoSpaceDN w:val="0"/>
        <w:adjustRightInd w:val="0"/>
        <w:spacing w:after="0" w:line="240" w:lineRule="auto"/>
        <w:ind w:left="566"/>
        <w:rPr>
          <w:rFonts w:ascii="Arial" w:hAnsi="Arial" w:cs="Arial"/>
          <w:noProof/>
          <w:sz w:val="20"/>
          <w:szCs w:val="20"/>
          <w:lang w:val="en-US"/>
        </w:rPr>
      </w:pPr>
    </w:p>
    <w:tbl>
      <w:tblPr>
        <w:tblW w:w="0" w:type="auto"/>
        <w:tblInd w:w="566" w:type="dxa"/>
        <w:tblBorders>
          <w:top w:val="single" w:sz="14" w:space="0" w:color="000000"/>
          <w:left w:val="single" w:sz="14" w:space="0" w:color="000000"/>
          <w:bottom w:val="single" w:sz="14" w:space="0" w:color="000000"/>
          <w:right w:val="single" w:sz="14" w:space="0" w:color="000000"/>
        </w:tblBorders>
        <w:tblLayout w:type="fixed"/>
        <w:tblCellMar>
          <w:left w:w="68" w:type="dxa"/>
          <w:right w:w="68" w:type="dxa"/>
        </w:tblCellMar>
        <w:tblLook w:val="0000" w:firstRow="0" w:lastRow="0" w:firstColumn="0" w:lastColumn="0" w:noHBand="0" w:noVBand="0"/>
      </w:tblPr>
      <w:tblGrid>
        <w:gridCol w:w="2552"/>
        <w:gridCol w:w="1486"/>
      </w:tblGrid>
      <w:tr w:rsidR="00077952" w:rsidRPr="00077952" w14:paraId="33C89955"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00D4C18D"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Propriété</w:t>
            </w:r>
          </w:p>
        </w:tc>
        <w:tc>
          <w:tcPr>
            <w:tcW w:w="1486" w:type="dxa"/>
            <w:tcBorders>
              <w:top w:val="single" w:sz="6" w:space="0" w:color="000000"/>
              <w:left w:val="single" w:sz="6" w:space="0" w:color="000000"/>
              <w:bottom w:val="single" w:sz="6" w:space="0" w:color="000000"/>
              <w:right w:val="single" w:sz="6" w:space="0" w:color="000000"/>
            </w:tcBorders>
          </w:tcPr>
          <w:p w14:paraId="7D11ED46"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Valeur</w:t>
            </w:r>
          </w:p>
        </w:tc>
      </w:tr>
      <w:tr w:rsidR="00077952" w:rsidRPr="00077952" w14:paraId="09AA211F"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31AF1D7C"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Aspect et couleur :</w:t>
            </w:r>
          </w:p>
        </w:tc>
        <w:tc>
          <w:tcPr>
            <w:tcW w:w="1486" w:type="dxa"/>
            <w:tcBorders>
              <w:top w:val="single" w:sz="6" w:space="0" w:color="000000"/>
              <w:left w:val="single" w:sz="6" w:space="0" w:color="000000"/>
              <w:bottom w:val="single" w:sz="6" w:space="0" w:color="000000"/>
              <w:right w:val="single" w:sz="6" w:space="0" w:color="000000"/>
            </w:tcBorders>
          </w:tcPr>
          <w:p w14:paraId="260ADC17"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Liquide clair, incolore</w:t>
            </w:r>
          </w:p>
        </w:tc>
      </w:tr>
      <w:tr w:rsidR="00077952" w:rsidRPr="00077952" w14:paraId="33CCE620"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5EC54FAB"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Odeur :</w:t>
            </w:r>
          </w:p>
        </w:tc>
        <w:tc>
          <w:tcPr>
            <w:tcW w:w="1486" w:type="dxa"/>
            <w:tcBorders>
              <w:top w:val="single" w:sz="6" w:space="0" w:color="000000"/>
              <w:left w:val="single" w:sz="6" w:space="0" w:color="000000"/>
              <w:bottom w:val="single" w:sz="6" w:space="0" w:color="000000"/>
              <w:right w:val="single" w:sz="6" w:space="0" w:color="000000"/>
            </w:tcBorders>
          </w:tcPr>
          <w:p w14:paraId="528E2FCE"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Caractéristique</w:t>
            </w:r>
          </w:p>
        </w:tc>
      </w:tr>
      <w:tr w:rsidR="00077952" w:rsidRPr="00077952" w14:paraId="601DF58E"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56A52FDE"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Seuil olfactif :</w:t>
            </w:r>
          </w:p>
        </w:tc>
        <w:tc>
          <w:tcPr>
            <w:tcW w:w="1486" w:type="dxa"/>
            <w:tcBorders>
              <w:top w:val="single" w:sz="6" w:space="0" w:color="000000"/>
              <w:left w:val="single" w:sz="6" w:space="0" w:color="000000"/>
              <w:bottom w:val="single" w:sz="6" w:space="0" w:color="000000"/>
              <w:right w:val="single" w:sz="6" w:space="0" w:color="000000"/>
            </w:tcBorders>
          </w:tcPr>
          <w:p w14:paraId="1A2A341D"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04CD72BE"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78622B30"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pH :</w:t>
            </w:r>
          </w:p>
        </w:tc>
        <w:tc>
          <w:tcPr>
            <w:tcW w:w="1486" w:type="dxa"/>
            <w:tcBorders>
              <w:top w:val="single" w:sz="6" w:space="0" w:color="000000"/>
              <w:left w:val="single" w:sz="6" w:space="0" w:color="000000"/>
              <w:bottom w:val="single" w:sz="6" w:space="0" w:color="000000"/>
              <w:right w:val="single" w:sz="6" w:space="0" w:color="000000"/>
            </w:tcBorders>
          </w:tcPr>
          <w:p w14:paraId="691FD223"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0E9CC42D"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58B79752"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Point de fusion/congélation :</w:t>
            </w:r>
          </w:p>
        </w:tc>
        <w:tc>
          <w:tcPr>
            <w:tcW w:w="1486" w:type="dxa"/>
            <w:tcBorders>
              <w:top w:val="single" w:sz="6" w:space="0" w:color="000000"/>
              <w:left w:val="single" w:sz="6" w:space="0" w:color="000000"/>
              <w:bottom w:val="single" w:sz="6" w:space="0" w:color="000000"/>
              <w:right w:val="single" w:sz="6" w:space="0" w:color="000000"/>
            </w:tcBorders>
          </w:tcPr>
          <w:p w14:paraId="16351CC1"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393D297A"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2F1E9E55" w14:textId="77777777" w:rsidR="00077952" w:rsidRPr="002C4D2B" w:rsidRDefault="00077952" w:rsidP="00077952">
            <w:pPr>
              <w:autoSpaceDE w:val="0"/>
              <w:autoSpaceDN w:val="0"/>
              <w:adjustRightInd w:val="0"/>
              <w:spacing w:after="0" w:line="240" w:lineRule="auto"/>
              <w:rPr>
                <w:rFonts w:ascii="Arial" w:hAnsi="Arial" w:cs="Arial"/>
                <w:noProof/>
                <w:sz w:val="20"/>
                <w:szCs w:val="20"/>
                <w:lang w:val="en-US"/>
              </w:rPr>
            </w:pPr>
            <w:r>
              <w:t>Point initial d’ébullition et intervalle d’ébullition :</w:t>
            </w:r>
          </w:p>
        </w:tc>
        <w:tc>
          <w:tcPr>
            <w:tcW w:w="1486" w:type="dxa"/>
            <w:tcBorders>
              <w:top w:val="single" w:sz="6" w:space="0" w:color="000000"/>
              <w:left w:val="single" w:sz="6" w:space="0" w:color="000000"/>
              <w:bottom w:val="single" w:sz="6" w:space="0" w:color="000000"/>
              <w:right w:val="single" w:sz="6" w:space="0" w:color="000000"/>
            </w:tcBorders>
          </w:tcPr>
          <w:p w14:paraId="44ACEE42"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7EFA4AC6"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7A6CFC71"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Point d’éclair :</w:t>
            </w:r>
          </w:p>
        </w:tc>
        <w:tc>
          <w:tcPr>
            <w:tcW w:w="1486" w:type="dxa"/>
            <w:tcBorders>
              <w:top w:val="single" w:sz="6" w:space="0" w:color="000000"/>
              <w:left w:val="single" w:sz="6" w:space="0" w:color="000000"/>
              <w:bottom w:val="single" w:sz="6" w:space="0" w:color="000000"/>
              <w:right w:val="single" w:sz="6" w:space="0" w:color="000000"/>
            </w:tcBorders>
          </w:tcPr>
          <w:p w14:paraId="421D740F"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&lt; 0 °C</w:t>
            </w:r>
          </w:p>
        </w:tc>
      </w:tr>
      <w:tr w:rsidR="00077952" w:rsidRPr="00077952" w14:paraId="1E9E624A"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63137A46"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Taux d’évaporation :</w:t>
            </w:r>
          </w:p>
        </w:tc>
        <w:tc>
          <w:tcPr>
            <w:tcW w:w="1486" w:type="dxa"/>
            <w:tcBorders>
              <w:top w:val="single" w:sz="6" w:space="0" w:color="000000"/>
              <w:left w:val="single" w:sz="6" w:space="0" w:color="000000"/>
              <w:bottom w:val="single" w:sz="6" w:space="0" w:color="000000"/>
              <w:right w:val="single" w:sz="6" w:space="0" w:color="000000"/>
            </w:tcBorders>
          </w:tcPr>
          <w:p w14:paraId="7D46C271"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27E6C2CC"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3D2D6076"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Inflammabilité des solides/gaz :</w:t>
            </w:r>
          </w:p>
        </w:tc>
        <w:tc>
          <w:tcPr>
            <w:tcW w:w="1486" w:type="dxa"/>
            <w:tcBorders>
              <w:top w:val="single" w:sz="6" w:space="0" w:color="000000"/>
              <w:left w:val="single" w:sz="6" w:space="0" w:color="000000"/>
              <w:bottom w:val="single" w:sz="6" w:space="0" w:color="000000"/>
              <w:right w:val="single" w:sz="6" w:space="0" w:color="000000"/>
            </w:tcBorders>
          </w:tcPr>
          <w:p w14:paraId="10DA75D2"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33D7D70B"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5ACBC6DA" w14:textId="77777777" w:rsidR="00077952" w:rsidRPr="002C4D2B" w:rsidRDefault="00077952" w:rsidP="00077952">
            <w:pPr>
              <w:autoSpaceDE w:val="0"/>
              <w:autoSpaceDN w:val="0"/>
              <w:adjustRightInd w:val="0"/>
              <w:spacing w:after="0" w:line="240" w:lineRule="auto"/>
              <w:rPr>
                <w:rFonts w:ascii="Arial" w:hAnsi="Arial" w:cs="Arial"/>
                <w:noProof/>
                <w:sz w:val="20"/>
                <w:szCs w:val="20"/>
                <w:lang w:val="en-US"/>
              </w:rPr>
            </w:pPr>
            <w:r>
              <w:t>Limites supérieures/inférieures d’inflammabilité ou d’explosivité :</w:t>
            </w:r>
          </w:p>
        </w:tc>
        <w:tc>
          <w:tcPr>
            <w:tcW w:w="1486" w:type="dxa"/>
            <w:tcBorders>
              <w:top w:val="single" w:sz="6" w:space="0" w:color="000000"/>
              <w:left w:val="single" w:sz="6" w:space="0" w:color="000000"/>
              <w:bottom w:val="single" w:sz="6" w:space="0" w:color="000000"/>
              <w:right w:val="single" w:sz="6" w:space="0" w:color="000000"/>
            </w:tcBorders>
          </w:tcPr>
          <w:p w14:paraId="5698829E"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4961D4CC"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7A618D32"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Pression de vapeur :</w:t>
            </w:r>
          </w:p>
        </w:tc>
        <w:tc>
          <w:tcPr>
            <w:tcW w:w="1486" w:type="dxa"/>
            <w:tcBorders>
              <w:top w:val="single" w:sz="6" w:space="0" w:color="000000"/>
              <w:left w:val="single" w:sz="6" w:space="0" w:color="000000"/>
              <w:bottom w:val="single" w:sz="6" w:space="0" w:color="000000"/>
              <w:right w:val="single" w:sz="6" w:space="0" w:color="000000"/>
            </w:tcBorders>
          </w:tcPr>
          <w:p w14:paraId="0B72ACF4"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722DE426"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92D6CE0"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Densité de vapeur :</w:t>
            </w:r>
          </w:p>
        </w:tc>
        <w:tc>
          <w:tcPr>
            <w:tcW w:w="1486" w:type="dxa"/>
            <w:tcBorders>
              <w:top w:val="single" w:sz="6" w:space="0" w:color="000000"/>
              <w:left w:val="single" w:sz="6" w:space="0" w:color="000000"/>
              <w:bottom w:val="single" w:sz="6" w:space="0" w:color="000000"/>
              <w:right w:val="single" w:sz="6" w:space="0" w:color="000000"/>
            </w:tcBorders>
          </w:tcPr>
          <w:p w14:paraId="6EB6B440"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2C6F35AD"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65966B08"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Densité relative :</w:t>
            </w:r>
          </w:p>
        </w:tc>
        <w:tc>
          <w:tcPr>
            <w:tcW w:w="1486" w:type="dxa"/>
            <w:tcBorders>
              <w:top w:val="single" w:sz="6" w:space="0" w:color="000000"/>
              <w:left w:val="single" w:sz="6" w:space="0" w:color="000000"/>
              <w:bottom w:val="single" w:sz="6" w:space="0" w:color="000000"/>
              <w:right w:val="single" w:sz="6" w:space="0" w:color="000000"/>
            </w:tcBorders>
          </w:tcPr>
          <w:p w14:paraId="5694FB08"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0,8 g/ml env.</w:t>
            </w:r>
          </w:p>
        </w:tc>
      </w:tr>
      <w:tr w:rsidR="00077952" w:rsidRPr="00077952" w14:paraId="424E3DE8"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16B0A89"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Solubilité dans l’eau :</w:t>
            </w:r>
          </w:p>
        </w:tc>
        <w:tc>
          <w:tcPr>
            <w:tcW w:w="1486" w:type="dxa"/>
            <w:tcBorders>
              <w:top w:val="single" w:sz="6" w:space="0" w:color="000000"/>
              <w:left w:val="single" w:sz="6" w:space="0" w:color="000000"/>
              <w:bottom w:val="single" w:sz="6" w:space="0" w:color="000000"/>
              <w:right w:val="single" w:sz="6" w:space="0" w:color="000000"/>
            </w:tcBorders>
          </w:tcPr>
          <w:p w14:paraId="427FF7B2"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partielle</w:t>
            </w:r>
          </w:p>
        </w:tc>
      </w:tr>
      <w:tr w:rsidR="00077952" w:rsidRPr="00077952" w14:paraId="2FE54163"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EA9C9BE"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Solubilité dans l’huile :</w:t>
            </w:r>
          </w:p>
        </w:tc>
        <w:tc>
          <w:tcPr>
            <w:tcW w:w="1486" w:type="dxa"/>
            <w:tcBorders>
              <w:top w:val="single" w:sz="6" w:space="0" w:color="000000"/>
              <w:left w:val="single" w:sz="6" w:space="0" w:color="000000"/>
              <w:bottom w:val="single" w:sz="6" w:space="0" w:color="000000"/>
              <w:right w:val="single" w:sz="6" w:space="0" w:color="000000"/>
            </w:tcBorders>
          </w:tcPr>
          <w:p w14:paraId="62AD5D68"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totale</w:t>
            </w:r>
          </w:p>
        </w:tc>
      </w:tr>
      <w:tr w:rsidR="00077952" w:rsidRPr="00077952" w14:paraId="7AD1366D"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090A4E4E" w14:textId="77777777" w:rsidR="00077952" w:rsidRPr="002C4D2B" w:rsidRDefault="00077952" w:rsidP="00077952">
            <w:pPr>
              <w:autoSpaceDE w:val="0"/>
              <w:autoSpaceDN w:val="0"/>
              <w:adjustRightInd w:val="0"/>
              <w:spacing w:after="0" w:line="240" w:lineRule="auto"/>
              <w:rPr>
                <w:rFonts w:ascii="Arial" w:hAnsi="Arial" w:cs="Arial"/>
                <w:noProof/>
                <w:sz w:val="20"/>
                <w:szCs w:val="20"/>
                <w:lang w:val="en-US"/>
              </w:rPr>
            </w:pPr>
            <w:r>
              <w:t>Coefficient de partage (n-octanol/eau) :</w:t>
            </w:r>
          </w:p>
        </w:tc>
        <w:tc>
          <w:tcPr>
            <w:tcW w:w="1486" w:type="dxa"/>
            <w:tcBorders>
              <w:top w:val="single" w:sz="6" w:space="0" w:color="000000"/>
              <w:left w:val="single" w:sz="6" w:space="0" w:color="000000"/>
              <w:bottom w:val="single" w:sz="6" w:space="0" w:color="000000"/>
              <w:right w:val="single" w:sz="6" w:space="0" w:color="000000"/>
            </w:tcBorders>
          </w:tcPr>
          <w:p w14:paraId="6B6AC9EB"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6496DB9B"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721EFC1"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Température d’auto-inflammation :</w:t>
            </w:r>
          </w:p>
        </w:tc>
        <w:tc>
          <w:tcPr>
            <w:tcW w:w="1486" w:type="dxa"/>
            <w:tcBorders>
              <w:top w:val="single" w:sz="6" w:space="0" w:color="000000"/>
              <w:left w:val="single" w:sz="6" w:space="0" w:color="000000"/>
              <w:bottom w:val="single" w:sz="6" w:space="0" w:color="000000"/>
              <w:right w:val="single" w:sz="6" w:space="0" w:color="000000"/>
            </w:tcBorders>
          </w:tcPr>
          <w:p w14:paraId="7BF79833"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2A39F036"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0A73A58D"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Température de décomposition :</w:t>
            </w:r>
          </w:p>
        </w:tc>
        <w:tc>
          <w:tcPr>
            <w:tcW w:w="1486" w:type="dxa"/>
            <w:tcBorders>
              <w:top w:val="single" w:sz="6" w:space="0" w:color="000000"/>
              <w:left w:val="single" w:sz="6" w:space="0" w:color="000000"/>
              <w:bottom w:val="single" w:sz="6" w:space="0" w:color="000000"/>
              <w:right w:val="single" w:sz="6" w:space="0" w:color="000000"/>
            </w:tcBorders>
          </w:tcPr>
          <w:p w14:paraId="11A2B657"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0CD64432"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0BC121D6"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Viscosité :</w:t>
            </w:r>
          </w:p>
        </w:tc>
        <w:tc>
          <w:tcPr>
            <w:tcW w:w="1486" w:type="dxa"/>
            <w:tcBorders>
              <w:top w:val="single" w:sz="6" w:space="0" w:color="000000"/>
              <w:left w:val="single" w:sz="6" w:space="0" w:color="000000"/>
              <w:bottom w:val="single" w:sz="6" w:space="0" w:color="000000"/>
              <w:right w:val="single" w:sz="6" w:space="0" w:color="000000"/>
            </w:tcBorders>
          </w:tcPr>
          <w:p w14:paraId="0B3BB688"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703F28DA"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1302DBE7"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Propriétés explosives :</w:t>
            </w:r>
          </w:p>
        </w:tc>
        <w:tc>
          <w:tcPr>
            <w:tcW w:w="1486" w:type="dxa"/>
            <w:tcBorders>
              <w:top w:val="single" w:sz="6" w:space="0" w:color="000000"/>
              <w:left w:val="single" w:sz="6" w:space="0" w:color="000000"/>
              <w:bottom w:val="single" w:sz="6" w:space="0" w:color="000000"/>
              <w:right w:val="single" w:sz="6" w:space="0" w:color="000000"/>
            </w:tcBorders>
          </w:tcPr>
          <w:p w14:paraId="6FBAE70F"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7B824DC1"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20F1D85"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Propriétés comburantes :</w:t>
            </w:r>
          </w:p>
        </w:tc>
        <w:tc>
          <w:tcPr>
            <w:tcW w:w="1486" w:type="dxa"/>
            <w:tcBorders>
              <w:top w:val="single" w:sz="6" w:space="0" w:color="000000"/>
              <w:left w:val="single" w:sz="6" w:space="0" w:color="000000"/>
              <w:bottom w:val="single" w:sz="6" w:space="0" w:color="000000"/>
              <w:right w:val="single" w:sz="6" w:space="0" w:color="000000"/>
            </w:tcBorders>
          </w:tcPr>
          <w:p w14:paraId="58EC4790"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bl>
    <w:p w14:paraId="50EDDB46" w14:textId="77777777" w:rsidR="00077952" w:rsidRPr="00077952" w:rsidRDefault="00077952" w:rsidP="00077952">
      <w:pPr>
        <w:autoSpaceDE w:val="0"/>
        <w:autoSpaceDN w:val="0"/>
        <w:adjustRightInd w:val="0"/>
        <w:spacing w:after="0" w:line="240" w:lineRule="auto"/>
        <w:ind w:left="566"/>
        <w:rPr>
          <w:rFonts w:ascii="Arial" w:hAnsi="Arial" w:cs="Arial"/>
          <w:noProof/>
          <w:sz w:val="20"/>
          <w:szCs w:val="20"/>
        </w:rPr>
      </w:pPr>
    </w:p>
    <w:p w14:paraId="5001F780" w14:textId="77777777" w:rsidR="00077952" w:rsidRPr="00077952" w:rsidRDefault="00077952" w:rsidP="00077952">
      <w:pPr>
        <w:autoSpaceDE w:val="0"/>
        <w:autoSpaceDN w:val="0"/>
        <w:adjustRightInd w:val="0"/>
        <w:spacing w:after="0" w:line="240" w:lineRule="auto"/>
        <w:ind w:left="566"/>
        <w:rPr>
          <w:rFonts w:ascii="Arial" w:hAnsi="Arial" w:cs="Arial"/>
          <w:noProof/>
          <w:sz w:val="20"/>
          <w:szCs w:val="20"/>
        </w:rPr>
      </w:pPr>
      <w:r>
        <w:t>9.2. Autres informations</w:t>
      </w:r>
    </w:p>
    <w:p w14:paraId="7680D8FE" w14:textId="77777777" w:rsidR="00077952" w:rsidRPr="00077952" w:rsidRDefault="00077952" w:rsidP="00077952">
      <w:pPr>
        <w:autoSpaceDE w:val="0"/>
        <w:autoSpaceDN w:val="0"/>
        <w:adjustRightInd w:val="0"/>
        <w:spacing w:after="0" w:line="240" w:lineRule="auto"/>
        <w:ind w:left="566"/>
        <w:rPr>
          <w:rFonts w:ascii="Arial" w:hAnsi="Arial" w:cs="Arial"/>
          <w:noProof/>
          <w:sz w:val="20"/>
          <w:szCs w:val="20"/>
        </w:rPr>
      </w:pPr>
    </w:p>
    <w:tbl>
      <w:tblPr>
        <w:tblW w:w="0" w:type="auto"/>
        <w:tblInd w:w="566" w:type="dxa"/>
        <w:tblBorders>
          <w:top w:val="single" w:sz="14" w:space="0" w:color="000000"/>
          <w:left w:val="single" w:sz="14" w:space="0" w:color="000000"/>
          <w:bottom w:val="single" w:sz="14" w:space="0" w:color="000000"/>
          <w:right w:val="single" w:sz="14" w:space="0" w:color="000000"/>
        </w:tblBorders>
        <w:tblLayout w:type="fixed"/>
        <w:tblCellMar>
          <w:left w:w="68" w:type="dxa"/>
          <w:right w:w="68" w:type="dxa"/>
        </w:tblCellMar>
        <w:tblLook w:val="0000" w:firstRow="0" w:lastRow="0" w:firstColumn="0" w:lastColumn="0" w:noHBand="0" w:noVBand="0"/>
      </w:tblPr>
      <w:tblGrid>
        <w:gridCol w:w="2552"/>
        <w:gridCol w:w="1417"/>
      </w:tblGrid>
      <w:tr w:rsidR="00077952" w:rsidRPr="00077952" w14:paraId="0D2B6EC6"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48116CE7"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Propriété</w:t>
            </w:r>
          </w:p>
        </w:tc>
        <w:tc>
          <w:tcPr>
            <w:tcW w:w="1417" w:type="dxa"/>
            <w:tcBorders>
              <w:top w:val="single" w:sz="6" w:space="0" w:color="000000"/>
              <w:left w:val="single" w:sz="6" w:space="0" w:color="000000"/>
              <w:bottom w:val="single" w:sz="6" w:space="0" w:color="000000"/>
              <w:right w:val="single" w:sz="6" w:space="0" w:color="000000"/>
            </w:tcBorders>
          </w:tcPr>
          <w:p w14:paraId="5F8BB1A8"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Valeur</w:t>
            </w:r>
          </w:p>
        </w:tc>
      </w:tr>
      <w:tr w:rsidR="00077952" w:rsidRPr="00077952" w14:paraId="265D8FC0"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56455541"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Miscibilité :</w:t>
            </w:r>
          </w:p>
        </w:tc>
        <w:tc>
          <w:tcPr>
            <w:tcW w:w="1417" w:type="dxa"/>
            <w:tcBorders>
              <w:top w:val="single" w:sz="6" w:space="0" w:color="000000"/>
              <w:left w:val="single" w:sz="6" w:space="0" w:color="000000"/>
              <w:bottom w:val="single" w:sz="6" w:space="0" w:color="000000"/>
              <w:right w:val="single" w:sz="6" w:space="0" w:color="000000"/>
            </w:tcBorders>
          </w:tcPr>
          <w:p w14:paraId="3CE488B6"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0A27E08D"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6E608639"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Solubilité dans les lipides :</w:t>
            </w:r>
          </w:p>
        </w:tc>
        <w:tc>
          <w:tcPr>
            <w:tcW w:w="1417" w:type="dxa"/>
            <w:tcBorders>
              <w:top w:val="single" w:sz="6" w:space="0" w:color="000000"/>
              <w:left w:val="single" w:sz="6" w:space="0" w:color="000000"/>
              <w:bottom w:val="single" w:sz="6" w:space="0" w:color="000000"/>
              <w:right w:val="single" w:sz="6" w:space="0" w:color="000000"/>
            </w:tcBorders>
          </w:tcPr>
          <w:p w14:paraId="080A31DF"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4B6FBF70"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36DE3EF7"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Conductivité :</w:t>
            </w:r>
          </w:p>
        </w:tc>
        <w:tc>
          <w:tcPr>
            <w:tcW w:w="1417" w:type="dxa"/>
            <w:tcBorders>
              <w:top w:val="single" w:sz="6" w:space="0" w:color="000000"/>
              <w:left w:val="single" w:sz="6" w:space="0" w:color="000000"/>
              <w:bottom w:val="single" w:sz="6" w:space="0" w:color="000000"/>
              <w:right w:val="single" w:sz="6" w:space="0" w:color="000000"/>
            </w:tcBorders>
          </w:tcPr>
          <w:p w14:paraId="072256FC"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r w:rsidR="00077952" w:rsidRPr="00077952" w14:paraId="5B2A00E7" w14:textId="77777777" w:rsidTr="00E6362F">
        <w:tc>
          <w:tcPr>
            <w:tcW w:w="2552" w:type="dxa"/>
            <w:tcBorders>
              <w:top w:val="single" w:sz="6" w:space="0" w:color="000000"/>
              <w:left w:val="single" w:sz="6" w:space="0" w:color="000000"/>
              <w:bottom w:val="single" w:sz="6" w:space="0" w:color="000000"/>
              <w:right w:val="single" w:sz="6" w:space="0" w:color="000000"/>
            </w:tcBorders>
          </w:tcPr>
          <w:p w14:paraId="191006E1" w14:textId="77777777" w:rsidR="00077952" w:rsidRPr="002C4D2B" w:rsidRDefault="00077952" w:rsidP="00077952">
            <w:pPr>
              <w:autoSpaceDE w:val="0"/>
              <w:autoSpaceDN w:val="0"/>
              <w:adjustRightInd w:val="0"/>
              <w:spacing w:after="0" w:line="240" w:lineRule="auto"/>
              <w:rPr>
                <w:rFonts w:ascii="Arial" w:hAnsi="Arial" w:cs="Arial"/>
                <w:noProof/>
                <w:sz w:val="20"/>
                <w:szCs w:val="20"/>
                <w:lang w:val="en-US"/>
              </w:rPr>
            </w:pPr>
            <w:r>
              <w:t>Propriétés caractéristiques des groupes de substances</w:t>
            </w:r>
          </w:p>
        </w:tc>
        <w:tc>
          <w:tcPr>
            <w:tcW w:w="1417" w:type="dxa"/>
            <w:tcBorders>
              <w:top w:val="single" w:sz="6" w:space="0" w:color="000000"/>
              <w:left w:val="single" w:sz="6" w:space="0" w:color="000000"/>
              <w:bottom w:val="single" w:sz="6" w:space="0" w:color="000000"/>
              <w:right w:val="single" w:sz="6" w:space="0" w:color="000000"/>
            </w:tcBorders>
          </w:tcPr>
          <w:p w14:paraId="16E49B64" w14:textId="77777777" w:rsidR="00077952" w:rsidRPr="00077952" w:rsidRDefault="00077952" w:rsidP="00077952">
            <w:pPr>
              <w:autoSpaceDE w:val="0"/>
              <w:autoSpaceDN w:val="0"/>
              <w:adjustRightInd w:val="0"/>
              <w:spacing w:after="0" w:line="240" w:lineRule="auto"/>
              <w:rPr>
                <w:rFonts w:ascii="Arial" w:hAnsi="Arial" w:cs="Arial"/>
                <w:noProof/>
                <w:sz w:val="20"/>
                <w:szCs w:val="20"/>
              </w:rPr>
            </w:pPr>
            <w:r>
              <w:t>NA</w:t>
            </w:r>
          </w:p>
        </w:tc>
      </w:tr>
    </w:tbl>
    <w:p w14:paraId="757172E2" w14:textId="77777777" w:rsidR="00274771" w:rsidRDefault="00274771">
      <w:pPr>
        <w:pStyle w:val="SDStext"/>
        <w:widowControl/>
        <w:ind w:left="566"/>
      </w:pPr>
    </w:p>
    <w:p w14:paraId="1C51478F" w14:textId="77777777" w:rsidR="00274771" w:rsidRDefault="00274771">
      <w:pPr>
        <w:pStyle w:val="SDStext"/>
        <w:widowControl/>
        <w:ind w:left="566"/>
      </w:pPr>
    </w:p>
    <w:p w14:paraId="7532EB5F" w14:textId="77777777" w:rsidR="00274771" w:rsidRDefault="00EA7600">
      <w:pPr>
        <w:pStyle w:val="Sectiontitle"/>
        <w:widowControl/>
      </w:pPr>
      <w:r>
        <mc:AlternateContent>
          <mc:Choice Requires="wps">
            <w:drawing>
              <wp:anchor distT="0" distB="0" distL="114300" distR="114300" simplePos="0" relativeHeight="251659776" behindDoc="1" locked="0" layoutInCell="0" allowOverlap="1" wp14:anchorId="631C6651" wp14:editId="538E0FFC">
                <wp:simplePos x="0" y="0"/>
                <wp:positionH relativeFrom="column">
                  <wp:posOffset>-35560</wp:posOffset>
                </wp:positionH>
                <wp:positionV relativeFrom="paragraph">
                  <wp:posOffset>0</wp:posOffset>
                </wp:positionV>
                <wp:extent cx="6065520" cy="635"/>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E8148"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" o:allowincell="f" strokeweight=".25pt"/>
            </w:pict>
          </mc:Fallback>
        </mc:AlternateContent>
      </w:r>
      <w:r w:rsidR="00274771">
        <w:t>SECTION 10 : Stabilité et réactivité</w:t>
      </w:r>
    </w:p>
    <w:p w14:paraId="3D7CA515" w14:textId="77777777" w:rsidR="00274771" w:rsidRDefault="00274771">
      <w:pPr>
        <w:pStyle w:val="SDStext"/>
        <w:widowControl/>
        <w:ind w:left="566"/>
      </w:pPr>
      <w:r>
        <w:t>10.1. Réactivité</w:t>
      </w:r>
    </w:p>
    <w:p w14:paraId="71D5DCFC" w14:textId="77777777" w:rsidR="00274771" w:rsidRDefault="00274771">
      <w:pPr>
        <w:pStyle w:val="SDStext"/>
        <w:widowControl/>
        <w:ind w:left="1133"/>
      </w:pPr>
      <w:r>
        <w:t>Stable dans des conditions normales</w:t>
      </w:r>
    </w:p>
    <w:p w14:paraId="348B9EE4" w14:textId="77777777" w:rsidR="00274771" w:rsidRDefault="00274771">
      <w:pPr>
        <w:pStyle w:val="SDStext"/>
        <w:widowControl/>
        <w:ind w:left="566"/>
      </w:pPr>
      <w:r>
        <w:t>10.2. Stabilité chimique</w:t>
      </w:r>
    </w:p>
    <w:p w14:paraId="6B5B67AB" w14:textId="77777777" w:rsidR="00274771" w:rsidRDefault="00274771">
      <w:pPr>
        <w:pStyle w:val="SDStext"/>
        <w:widowControl/>
        <w:ind w:left="1133"/>
      </w:pPr>
      <w:r>
        <w:t>Stable dans des conditions normales</w:t>
      </w:r>
    </w:p>
    <w:p w14:paraId="2CA4F8F8" w14:textId="77777777" w:rsidR="00274771" w:rsidRDefault="00274771">
      <w:pPr>
        <w:pStyle w:val="SDStext"/>
        <w:widowControl/>
        <w:ind w:left="566"/>
      </w:pPr>
      <w:r>
        <w:t>10.3. Possibilité de réactions dangereuses</w:t>
      </w:r>
    </w:p>
    <w:p w14:paraId="4FF000A9" w14:textId="77777777" w:rsidR="00274771" w:rsidRPr="002C4D2B" w:rsidRDefault="00274771">
      <w:pPr>
        <w:pStyle w:val="SDStext"/>
        <w:widowControl/>
        <w:ind w:left="1133"/>
        <w:rPr>
          <w:lang w:val="en-US"/>
        </w:rPr>
      </w:pPr>
      <w:r>
        <w:t>Peut générer des gaz inflammables au contact de métaux élémentaires (alcalins et alcalino-terreux), de nitrures et d’agents réducteurs puissants.</w:t>
      </w:r>
    </w:p>
    <w:p w14:paraId="45562092" w14:textId="77777777" w:rsidR="00274771" w:rsidRPr="002C4D2B" w:rsidRDefault="00274771">
      <w:pPr>
        <w:pStyle w:val="SDStext"/>
        <w:widowControl/>
        <w:ind w:left="1133"/>
        <w:rPr>
          <w:lang w:val="en-US"/>
        </w:rPr>
      </w:pPr>
      <w:r>
        <w:t>Peut s’enflammer au contact d’acides minéraux oxydants ou d’agents oxydants puissants.</w:t>
      </w:r>
    </w:p>
    <w:p w14:paraId="142C5E54" w14:textId="77777777" w:rsidR="00274771" w:rsidRPr="002C4D2B" w:rsidRDefault="00274771">
      <w:pPr>
        <w:pStyle w:val="SDStext"/>
        <w:widowControl/>
        <w:ind w:left="566"/>
        <w:rPr>
          <w:lang w:val="en-US"/>
        </w:rPr>
      </w:pPr>
      <w:r>
        <w:t>10.4. Conditions à éviter</w:t>
      </w:r>
    </w:p>
    <w:p w14:paraId="052B7577" w14:textId="77777777" w:rsidR="00274771" w:rsidRPr="002C4D2B" w:rsidRDefault="00274771">
      <w:pPr>
        <w:pStyle w:val="SDStext"/>
        <w:widowControl/>
        <w:ind w:left="1133"/>
        <w:rPr>
          <w:lang w:val="en-US"/>
        </w:rPr>
      </w:pPr>
      <w:r>
        <w:t>Stable dans des conditions normales.</w:t>
      </w:r>
    </w:p>
    <w:p w14:paraId="6F460B80" w14:textId="77777777" w:rsidR="00274771" w:rsidRPr="002C4D2B" w:rsidRDefault="00274771">
      <w:pPr>
        <w:pStyle w:val="SDStext"/>
        <w:widowControl/>
        <w:ind w:left="566"/>
        <w:rPr>
          <w:lang w:val="en-US"/>
        </w:rPr>
      </w:pPr>
      <w:r>
        <w:t>10.5. Matières incompatibles</w:t>
      </w:r>
    </w:p>
    <w:p w14:paraId="6D343352" w14:textId="77777777" w:rsidR="00274771" w:rsidRPr="002C4D2B" w:rsidRDefault="00274771">
      <w:pPr>
        <w:pStyle w:val="SDStext"/>
        <w:widowControl/>
        <w:ind w:left="1133"/>
        <w:rPr>
          <w:lang w:val="en-US"/>
        </w:rPr>
      </w:pPr>
      <w:r>
        <w:t>Éviter le contact avec des matières combustibles. Le produit peut s’enflammer.</w:t>
      </w:r>
    </w:p>
    <w:p w14:paraId="06A1BA84" w14:textId="77777777" w:rsidR="00274771" w:rsidRPr="002C4D2B" w:rsidRDefault="00274771">
      <w:pPr>
        <w:pStyle w:val="SDStext"/>
        <w:widowControl/>
        <w:ind w:left="566"/>
        <w:rPr>
          <w:lang w:val="en-US"/>
        </w:rPr>
      </w:pPr>
      <w:r>
        <w:t>10.6. Produits de décomposition dangereux</w:t>
      </w:r>
    </w:p>
    <w:p w14:paraId="057D18D2" w14:textId="77777777" w:rsidR="00274771" w:rsidRPr="002C4D2B" w:rsidRDefault="00274771">
      <w:pPr>
        <w:pStyle w:val="SDStext"/>
        <w:widowControl/>
        <w:ind w:left="1133"/>
        <w:rPr>
          <w:lang w:val="en-US"/>
        </w:rPr>
      </w:pPr>
      <w:r>
        <w:t>Aucun.</w:t>
      </w:r>
    </w:p>
    <w:p w14:paraId="2B2DF2FA" w14:textId="77777777" w:rsidR="00274771" w:rsidRPr="002C4D2B" w:rsidRDefault="00274771">
      <w:pPr>
        <w:pStyle w:val="SDStext"/>
        <w:widowControl/>
        <w:ind w:left="1133"/>
        <w:rPr>
          <w:lang w:val="en-US"/>
        </w:rPr>
      </w:pPr>
    </w:p>
    <w:p w14:paraId="1CCF2DA0" w14:textId="77777777" w:rsidR="00274771" w:rsidRPr="002C4D2B" w:rsidRDefault="00EA7600">
      <w:pPr>
        <w:pStyle w:val="Sectiontitle"/>
        <w:widowControl/>
        <w:rPr>
          <w:lang w:val="en-US"/>
        </w:rPr>
      </w:pPr>
      <w:r>
        <mc:AlternateContent>
          <mc:Choice Requires="wps">
            <w:drawing>
              <wp:anchor distT="0" distB="0" distL="114300" distR="114300" simplePos="0" relativeHeight="251660800" behindDoc="1" locked="0" layoutInCell="0" allowOverlap="1" wp14:anchorId="0C08193B" wp14:editId="2DBCA861">
                <wp:simplePos x="0" y="0"/>
                <wp:positionH relativeFrom="column">
                  <wp:posOffset>-35560</wp:posOffset>
                </wp:positionH>
                <wp:positionV relativeFrom="paragraph">
                  <wp:posOffset>0</wp:posOffset>
                </wp:positionV>
                <wp:extent cx="6065520" cy="635"/>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551FB"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" o:allowincell="f" strokeweight=".25pt"/>
            </w:pict>
          </mc:Fallback>
        </mc:AlternateContent>
      </w:r>
      <w:r w:rsidR="00274771" w:rsidRPr="002C4D2B">
        <w:rPr>
          <w:lang w:val="en-US"/>
        </w:rPr>
        <w:t>SECTION 11 : Informations toxicologiques</w:t>
      </w:r>
    </w:p>
    <w:p w14:paraId="53160D91" w14:textId="77777777" w:rsidR="00274771" w:rsidRPr="002C4D2B" w:rsidRDefault="00274771">
      <w:pPr>
        <w:pStyle w:val="SDStext"/>
        <w:widowControl/>
        <w:ind w:left="566"/>
        <w:rPr>
          <w:lang w:val="en-US"/>
        </w:rPr>
      </w:pPr>
      <w:r>
        <w:t>11.1. Informations sur les classes de danger définies dans le règlement (CE) n° 1272/2008</w:t>
      </w:r>
    </w:p>
    <w:p w14:paraId="10136798" w14:textId="77777777" w:rsidR="00274771" w:rsidRPr="002C4D2B" w:rsidRDefault="00274771">
      <w:pPr>
        <w:pStyle w:val="SDStext"/>
        <w:widowControl/>
        <w:ind w:left="566"/>
        <w:rPr>
          <w:lang w:val="en-US"/>
        </w:rPr>
      </w:pPr>
      <w:r>
        <w:t>Informations toxicologiques concernant le produit :</w:t>
      </w:r>
    </w:p>
    <w:p w14:paraId="5379E59E" w14:textId="77777777" w:rsidR="00274771" w:rsidRPr="002C4D2B" w:rsidRDefault="00274771">
      <w:pPr>
        <w:pStyle w:val="SDStext"/>
        <w:widowControl/>
        <w:ind w:left="1133"/>
        <w:rPr>
          <w:lang w:val="en-US"/>
        </w:rPr>
      </w:pPr>
      <w:r>
        <w:t>NA</w:t>
      </w:r>
    </w:p>
    <w:p w14:paraId="066ACF78" w14:textId="77777777" w:rsidR="00274771" w:rsidRPr="002C4D2B" w:rsidRDefault="00274771">
      <w:pPr>
        <w:pStyle w:val="SDStext"/>
        <w:widowControl/>
        <w:ind w:left="566"/>
        <w:rPr>
          <w:lang w:val="en-US"/>
        </w:rPr>
      </w:pPr>
      <w:r>
        <w:t>Informations toxicologiques concernant les principales substances présentes dans le produit :</w:t>
      </w:r>
    </w:p>
    <w:p w14:paraId="4AA5E5BE" w14:textId="77777777" w:rsidR="00274771" w:rsidRPr="002C4D2B" w:rsidRDefault="00274771">
      <w:pPr>
        <w:pStyle w:val="SDStext"/>
        <w:widowControl/>
        <w:ind w:left="1133"/>
        <w:rPr>
          <w:lang w:val="en-US"/>
        </w:rPr>
      </w:pPr>
      <w:r>
        <w:t>NA</w:t>
      </w:r>
    </w:p>
    <w:p w14:paraId="596B77DF" w14:textId="77777777" w:rsidR="00274771" w:rsidRPr="002C4D2B" w:rsidRDefault="00274771">
      <w:pPr>
        <w:pStyle w:val="SDStext"/>
        <w:widowControl/>
        <w:ind w:left="566"/>
        <w:rPr>
          <w:lang w:val="en-US"/>
        </w:rPr>
      </w:pPr>
      <w:r>
        <w:t>Sauf indication contraire, les données requises par le règlement (UE) 2020/878 ci-dessous doivent être considérées comme NA :</w:t>
      </w:r>
    </w:p>
    <w:p w14:paraId="0AE29BA7" w14:textId="77777777" w:rsidR="00274771" w:rsidRDefault="00274771" w:rsidP="00D311E6">
      <w:pPr>
        <w:pStyle w:val="SDStext"/>
        <w:widowControl/>
        <w:numPr>
          <w:ilvl w:val="0"/>
          <w:numId w:val="1"/>
        </w:numPr>
      </w:pPr>
      <w:r>
        <w:t>a) toxicité aiguë ;</w:t>
      </w:r>
    </w:p>
    <w:p w14:paraId="327A0FE3" w14:textId="77777777" w:rsidR="00D311E6" w:rsidRDefault="00D311E6" w:rsidP="00D311E6">
      <w:pPr>
        <w:pStyle w:val="SDStext"/>
        <w:ind w:left="1493"/>
      </w:pPr>
      <w:r>
        <w:t>acétone ; 2-propanone ; propanone CAS : 67-64-1</w:t>
      </w:r>
    </w:p>
    <w:p w14:paraId="0FC0567A" w14:textId="77777777" w:rsidR="00D311E6" w:rsidRPr="002C4D2B" w:rsidRDefault="00D311E6" w:rsidP="00D311E6">
      <w:pPr>
        <w:pStyle w:val="SDStext"/>
        <w:ind w:left="1493"/>
        <w:rPr>
          <w:lang w:val="en-US"/>
        </w:rPr>
      </w:pPr>
      <w:r>
        <w:t>Essai : DL50 orale (rat) : 5 800 mg/kg</w:t>
      </w:r>
    </w:p>
    <w:p w14:paraId="60C24615" w14:textId="77777777" w:rsidR="00D311E6" w:rsidRPr="002C4D2B" w:rsidRDefault="00D311E6" w:rsidP="00D311E6">
      <w:pPr>
        <w:pStyle w:val="SDStext"/>
        <w:ind w:left="1493"/>
        <w:rPr>
          <w:lang w:val="en-US"/>
        </w:rPr>
      </w:pPr>
      <w:r>
        <w:t>Essai : DL50 cutanée (lapin) : 20 000 mg/kg</w:t>
      </w:r>
    </w:p>
    <w:p w14:paraId="18078393" w14:textId="77777777" w:rsidR="00D311E6" w:rsidRPr="002C4D2B" w:rsidRDefault="00D311E6" w:rsidP="00D311E6">
      <w:pPr>
        <w:pStyle w:val="SDStext"/>
        <w:widowControl/>
        <w:ind w:left="1493"/>
        <w:rPr>
          <w:lang w:val="en-US"/>
        </w:rPr>
      </w:pPr>
      <w:r>
        <w:t>Essai : CL50 par inhalation (rat) : 50 100 mg/m3 (4 heures d’exposition)</w:t>
      </w:r>
    </w:p>
    <w:p w14:paraId="734F601D" w14:textId="77777777" w:rsidR="00274771" w:rsidRPr="002C4D2B" w:rsidRDefault="00274771">
      <w:pPr>
        <w:pStyle w:val="SDStext"/>
        <w:widowControl/>
        <w:ind w:left="1133"/>
        <w:rPr>
          <w:lang w:val="en-US"/>
        </w:rPr>
      </w:pPr>
      <w:r>
        <w:t>b) corrosion/irritation cutanée ;</w:t>
      </w:r>
    </w:p>
    <w:p w14:paraId="47271DD7" w14:textId="77777777" w:rsidR="00274771" w:rsidRPr="002C4D2B" w:rsidRDefault="00274771">
      <w:pPr>
        <w:pStyle w:val="SDStext"/>
        <w:widowControl/>
        <w:ind w:left="1133"/>
        <w:rPr>
          <w:lang w:val="en-US"/>
        </w:rPr>
      </w:pPr>
      <w:r>
        <w:t>c) lésions oculaires graves/irritation oculaire ;</w:t>
      </w:r>
    </w:p>
    <w:p w14:paraId="42B08AC3" w14:textId="77777777" w:rsidR="00274771" w:rsidRPr="002C4D2B" w:rsidRDefault="00274771">
      <w:pPr>
        <w:pStyle w:val="SDStext"/>
        <w:widowControl/>
        <w:ind w:left="1133"/>
        <w:rPr>
          <w:lang w:val="en-US"/>
        </w:rPr>
      </w:pPr>
      <w:r>
        <w:t>d) sensibilisation respiratoire ou cutanée ;</w:t>
      </w:r>
    </w:p>
    <w:p w14:paraId="09C82386" w14:textId="77777777" w:rsidR="00274771" w:rsidRPr="002C4D2B" w:rsidRDefault="00274771">
      <w:pPr>
        <w:pStyle w:val="SDStext"/>
        <w:widowControl/>
        <w:ind w:left="1133"/>
        <w:rPr>
          <w:lang w:val="en-US"/>
        </w:rPr>
      </w:pPr>
      <w:r>
        <w:t>e) mutagénicité sur les cellules germinales ;</w:t>
      </w:r>
    </w:p>
    <w:p w14:paraId="5E07867F" w14:textId="77777777" w:rsidR="00274771" w:rsidRPr="002C4D2B" w:rsidRDefault="00274771">
      <w:pPr>
        <w:pStyle w:val="SDStext"/>
        <w:widowControl/>
        <w:ind w:left="1133"/>
        <w:rPr>
          <w:lang w:val="en-US"/>
        </w:rPr>
      </w:pPr>
      <w:r>
        <w:t>f) cancérogénicité ;</w:t>
      </w:r>
    </w:p>
    <w:p w14:paraId="61BFA687" w14:textId="77777777" w:rsidR="00274771" w:rsidRPr="002C4D2B" w:rsidRDefault="00274771">
      <w:pPr>
        <w:pStyle w:val="SDStext"/>
        <w:widowControl/>
        <w:ind w:left="1133"/>
        <w:rPr>
          <w:lang w:val="en-US"/>
        </w:rPr>
      </w:pPr>
      <w:r>
        <w:t>g) toxicité pour la reproduction ;</w:t>
      </w:r>
    </w:p>
    <w:p w14:paraId="10647491" w14:textId="77777777" w:rsidR="00274771" w:rsidRPr="002C4D2B" w:rsidRDefault="00274771">
      <w:pPr>
        <w:pStyle w:val="SDStext"/>
        <w:widowControl/>
        <w:ind w:left="1133"/>
        <w:rPr>
          <w:lang w:val="en-US"/>
        </w:rPr>
      </w:pPr>
      <w:r>
        <w:t>h) toxicité spécifique pour certains organes cibles (STOT) - exposition unique ;</w:t>
      </w:r>
    </w:p>
    <w:p w14:paraId="78D8AB40" w14:textId="77777777" w:rsidR="00274771" w:rsidRPr="002C4D2B" w:rsidRDefault="00274771">
      <w:pPr>
        <w:pStyle w:val="SDStext"/>
        <w:widowControl/>
        <w:ind w:left="1133"/>
        <w:rPr>
          <w:lang w:val="en-US"/>
        </w:rPr>
      </w:pPr>
      <w:r>
        <w:t>i) toxicité spécifique pour certains organes cibles (STOT) - exposition répétée ;</w:t>
      </w:r>
    </w:p>
    <w:p w14:paraId="2B2EA884" w14:textId="77777777" w:rsidR="00274771" w:rsidRPr="002C4D2B" w:rsidRDefault="00274771">
      <w:pPr>
        <w:pStyle w:val="SDStext"/>
        <w:widowControl/>
        <w:ind w:left="1133"/>
        <w:rPr>
          <w:lang w:val="en-US"/>
        </w:rPr>
      </w:pPr>
      <w:r>
        <w:t>j) danger en cas d’aspiration.</w:t>
      </w:r>
    </w:p>
    <w:p w14:paraId="3803A9F1" w14:textId="77777777" w:rsidR="00274771" w:rsidRPr="002C4D2B" w:rsidRDefault="00274771">
      <w:pPr>
        <w:pStyle w:val="SDStext"/>
        <w:widowControl/>
        <w:ind w:left="566"/>
        <w:rPr>
          <w:lang w:val="en-US"/>
        </w:rPr>
      </w:pPr>
      <w:r>
        <w:t>11.2. Informations sur les autres dangers</w:t>
      </w:r>
    </w:p>
    <w:p w14:paraId="7F9B6228" w14:textId="77777777" w:rsidR="00274771" w:rsidRPr="002C4D2B" w:rsidRDefault="00274771">
      <w:pPr>
        <w:pStyle w:val="SDStext"/>
        <w:widowControl/>
        <w:ind w:left="1133"/>
        <w:rPr>
          <w:lang w:val="en-US"/>
        </w:rPr>
      </w:pPr>
      <w:r>
        <w:t>Propriétés perturbant le système endocrinien :</w:t>
      </w:r>
    </w:p>
    <w:p w14:paraId="0711900C" w14:textId="77777777" w:rsidR="00274771" w:rsidRPr="002C4D2B" w:rsidRDefault="00274771">
      <w:pPr>
        <w:pStyle w:val="SDStext"/>
        <w:widowControl/>
        <w:ind w:left="1133"/>
        <w:rPr>
          <w:lang w:val="en-US"/>
        </w:rPr>
      </w:pPr>
      <w:r>
        <w:t>Aucun perturbateur endocrinien présent à des concentrations &gt;= 0,1 %</w:t>
      </w:r>
    </w:p>
    <w:p w14:paraId="47CFC50C" w14:textId="77777777" w:rsidR="00274771" w:rsidRPr="002C4D2B" w:rsidRDefault="00274771">
      <w:pPr>
        <w:pStyle w:val="SDStext"/>
        <w:widowControl/>
        <w:ind w:left="1133"/>
        <w:rPr>
          <w:lang w:val="en-US"/>
        </w:rPr>
      </w:pPr>
    </w:p>
    <w:p w14:paraId="08C7290A" w14:textId="77777777" w:rsidR="00274771" w:rsidRPr="002C4D2B" w:rsidRDefault="00EA7600">
      <w:pPr>
        <w:pStyle w:val="Sectiontitle"/>
        <w:widowControl/>
        <w:rPr>
          <w:lang w:val="en-US"/>
        </w:rPr>
      </w:pPr>
      <w:r>
        <mc:AlternateContent>
          <mc:Choice Requires="wps">
            <w:drawing>
              <wp:anchor distT="0" distB="0" distL="114300" distR="114300" simplePos="0" relativeHeight="251661824" behindDoc="1" locked="0" layoutInCell="0" allowOverlap="1" wp14:anchorId="399450B4" wp14:editId="09E8DD77">
                <wp:simplePos x="0" y="0"/>
                <wp:positionH relativeFrom="column">
                  <wp:posOffset>-35560</wp:posOffset>
                </wp:positionH>
                <wp:positionV relativeFrom="paragraph">
                  <wp:posOffset>0</wp:posOffset>
                </wp:positionV>
                <wp:extent cx="6065520" cy="635"/>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18DB9D"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" o:allowincell="f" strokeweight=".25pt"/>
            </w:pict>
          </mc:Fallback>
        </mc:AlternateContent>
      </w:r>
      <w:r w:rsidR="00274771" w:rsidRPr="002C4D2B">
        <w:rPr>
          <w:lang w:val="en-US"/>
        </w:rPr>
        <w:t>SECTION 12 : Informations écologiques</w:t>
      </w:r>
    </w:p>
    <w:p w14:paraId="5B7E29A4" w14:textId="77777777" w:rsidR="00274771" w:rsidRPr="002C4D2B" w:rsidRDefault="00274771">
      <w:pPr>
        <w:pStyle w:val="SDStext"/>
        <w:widowControl/>
        <w:ind w:left="566"/>
        <w:rPr>
          <w:lang w:val="en-US"/>
        </w:rPr>
      </w:pPr>
      <w:r>
        <w:t>12.1. Toxicité</w:t>
      </w:r>
    </w:p>
    <w:p w14:paraId="12105D96" w14:textId="77777777" w:rsidR="00274771" w:rsidRPr="002C4D2B" w:rsidRDefault="00274771">
      <w:pPr>
        <w:pStyle w:val="SDStext"/>
        <w:widowControl/>
        <w:ind w:left="1133"/>
        <w:rPr>
          <w:lang w:val="en-US"/>
        </w:rPr>
      </w:pPr>
      <w:r>
        <w:t>Utiliser conformément aux bonnes pratiques de travail, en évitant la dispersion du produit dans l’environnement.</w:t>
      </w:r>
    </w:p>
    <w:p w14:paraId="18E2F147" w14:textId="77777777" w:rsidR="00274771" w:rsidRPr="002C4D2B" w:rsidRDefault="00274771">
      <w:pPr>
        <w:pStyle w:val="SDStext"/>
        <w:widowControl/>
        <w:ind w:left="1133"/>
        <w:rPr>
          <w:lang w:val="en-US"/>
        </w:rPr>
      </w:pPr>
      <w:r>
        <w:t>NA</w:t>
      </w:r>
    </w:p>
    <w:p w14:paraId="554EE398" w14:textId="77777777" w:rsidR="00274771" w:rsidRPr="002C4D2B" w:rsidRDefault="00274771">
      <w:pPr>
        <w:pStyle w:val="SDStext"/>
        <w:widowControl/>
        <w:ind w:left="566"/>
        <w:rPr>
          <w:lang w:val="en-US"/>
        </w:rPr>
      </w:pPr>
      <w:r>
        <w:t>12.2. Persistance et dégradabilité</w:t>
      </w:r>
    </w:p>
    <w:p w14:paraId="4E7E1DE7" w14:textId="77777777" w:rsidR="00274771" w:rsidRPr="002C4D2B" w:rsidRDefault="00274771">
      <w:pPr>
        <w:pStyle w:val="SDStext"/>
        <w:widowControl/>
        <w:ind w:left="1133"/>
        <w:rPr>
          <w:lang w:val="en-US"/>
        </w:rPr>
      </w:pPr>
      <w:r>
        <w:t>Aucune</w:t>
      </w:r>
    </w:p>
    <w:p w14:paraId="574DFF08" w14:textId="77777777" w:rsidR="00274771" w:rsidRPr="002C4D2B" w:rsidRDefault="00274771">
      <w:pPr>
        <w:pStyle w:val="SDStext"/>
        <w:widowControl/>
        <w:ind w:left="1133"/>
        <w:rPr>
          <w:lang w:val="en-US"/>
        </w:rPr>
      </w:pPr>
      <w:r>
        <w:t>NA</w:t>
      </w:r>
    </w:p>
    <w:p w14:paraId="663DC71F" w14:textId="77777777" w:rsidR="00274771" w:rsidRPr="002C4D2B" w:rsidRDefault="00274771">
      <w:pPr>
        <w:pStyle w:val="SDStext"/>
        <w:widowControl/>
        <w:ind w:left="566"/>
        <w:rPr>
          <w:lang w:val="en-US"/>
        </w:rPr>
      </w:pPr>
      <w:r>
        <w:t>12.3. Potentiel de bioaccumulation</w:t>
      </w:r>
    </w:p>
    <w:p w14:paraId="6B0CDBB5" w14:textId="77777777" w:rsidR="00274771" w:rsidRPr="002C4D2B" w:rsidRDefault="00274771">
      <w:pPr>
        <w:pStyle w:val="SDStext"/>
        <w:widowControl/>
        <w:ind w:left="1133"/>
        <w:rPr>
          <w:lang w:val="en-US"/>
        </w:rPr>
      </w:pPr>
      <w:r>
        <w:t>NA</w:t>
      </w:r>
    </w:p>
    <w:p w14:paraId="67559AB9" w14:textId="77777777" w:rsidR="00274771" w:rsidRPr="002C4D2B" w:rsidRDefault="00274771">
      <w:pPr>
        <w:pStyle w:val="SDStext"/>
        <w:widowControl/>
        <w:ind w:left="566"/>
        <w:rPr>
          <w:lang w:val="en-US"/>
        </w:rPr>
      </w:pPr>
      <w:r>
        <w:t>12.4. Mobilité dans le sol</w:t>
      </w:r>
    </w:p>
    <w:p w14:paraId="5A1DA1AB" w14:textId="77777777" w:rsidR="00274771" w:rsidRPr="002C4D2B" w:rsidRDefault="00274771">
      <w:pPr>
        <w:pStyle w:val="SDStext"/>
        <w:widowControl/>
        <w:ind w:left="1133"/>
        <w:rPr>
          <w:lang w:val="en-US"/>
        </w:rPr>
      </w:pPr>
      <w:r>
        <w:t>NA</w:t>
      </w:r>
    </w:p>
    <w:p w14:paraId="3DCFFDA1" w14:textId="77777777" w:rsidR="00274771" w:rsidRPr="002C4D2B" w:rsidRDefault="00274771">
      <w:pPr>
        <w:pStyle w:val="SDStext"/>
        <w:widowControl/>
        <w:ind w:left="566"/>
        <w:rPr>
          <w:lang w:val="en-US"/>
        </w:rPr>
      </w:pPr>
      <w:r>
        <w:t>12.5. Résultats des évaluations PBT et vPvB</w:t>
      </w:r>
    </w:p>
    <w:p w14:paraId="6F41E187" w14:textId="77777777" w:rsidR="00274771" w:rsidRPr="002C4D2B" w:rsidRDefault="00274771">
      <w:pPr>
        <w:pStyle w:val="SDStext"/>
        <w:widowControl/>
        <w:ind w:left="1133"/>
        <w:rPr>
          <w:lang w:val="en-US"/>
        </w:rPr>
      </w:pPr>
      <w:r>
        <w:t>Substances vPvB : aucune - Substances PBT : aucune</w:t>
      </w:r>
    </w:p>
    <w:p w14:paraId="4D75E24A" w14:textId="77777777" w:rsidR="00274771" w:rsidRPr="002C4D2B" w:rsidRDefault="00274771">
      <w:pPr>
        <w:pStyle w:val="SDStext"/>
        <w:widowControl/>
        <w:ind w:left="566"/>
        <w:rPr>
          <w:lang w:val="en-US"/>
        </w:rPr>
      </w:pPr>
      <w:r>
        <w:t>12.6. Propriétés perturbant le système endocrinien</w:t>
      </w:r>
    </w:p>
    <w:p w14:paraId="3E77209A" w14:textId="77777777" w:rsidR="00274771" w:rsidRPr="002C4D2B" w:rsidRDefault="00274771">
      <w:pPr>
        <w:pStyle w:val="SDStext"/>
        <w:widowControl/>
        <w:ind w:left="1133"/>
        <w:rPr>
          <w:lang w:val="en-US"/>
        </w:rPr>
      </w:pPr>
      <w:r>
        <w:t>Aucun perturbateur endocrinien présent à des concentrations &gt;= 0,1 %</w:t>
      </w:r>
    </w:p>
    <w:p w14:paraId="7B2A871D" w14:textId="77777777" w:rsidR="00274771" w:rsidRPr="002C4D2B" w:rsidRDefault="00274771">
      <w:pPr>
        <w:pStyle w:val="SDStext"/>
        <w:widowControl/>
        <w:ind w:left="566"/>
        <w:rPr>
          <w:lang w:val="en-US"/>
        </w:rPr>
      </w:pPr>
      <w:r>
        <w:t>12.7. Autres effets néfastes</w:t>
      </w:r>
    </w:p>
    <w:p w14:paraId="298E5534" w14:textId="77777777" w:rsidR="00274771" w:rsidRPr="002C4D2B" w:rsidRDefault="00274771">
      <w:pPr>
        <w:pStyle w:val="SDStext"/>
        <w:widowControl/>
        <w:ind w:left="1133"/>
        <w:rPr>
          <w:lang w:val="en-US"/>
        </w:rPr>
      </w:pPr>
      <w:r>
        <w:t>Aucun</w:t>
      </w:r>
    </w:p>
    <w:p w14:paraId="5467747F" w14:textId="77777777" w:rsidR="00274771" w:rsidRPr="002C4D2B" w:rsidRDefault="00274771">
      <w:pPr>
        <w:pStyle w:val="SDStext"/>
        <w:widowControl/>
        <w:ind w:left="1133"/>
        <w:rPr>
          <w:lang w:val="en-US"/>
        </w:rPr>
      </w:pPr>
    </w:p>
    <w:p w14:paraId="1FED065A" w14:textId="77777777" w:rsidR="00274771" w:rsidRPr="002C4D2B" w:rsidRDefault="00EA7600">
      <w:pPr>
        <w:pStyle w:val="Sectiontitle"/>
        <w:widowControl/>
        <w:rPr>
          <w:lang w:val="en-US"/>
        </w:rPr>
      </w:pPr>
      <w:r>
        <mc:AlternateContent>
          <mc:Choice Requires="wps">
            <w:drawing>
              <wp:anchor distT="0" distB="0" distL="114300" distR="114300" simplePos="0" relativeHeight="251662848" behindDoc="1" locked="0" layoutInCell="0" allowOverlap="1" wp14:anchorId="4584CA10" wp14:editId="1248AB9F">
                <wp:simplePos x="0" y="0"/>
                <wp:positionH relativeFrom="column">
                  <wp:posOffset>-35560</wp:posOffset>
                </wp:positionH>
                <wp:positionV relativeFrom="paragraph">
                  <wp:posOffset>0</wp:posOffset>
                </wp:positionV>
                <wp:extent cx="6065520" cy="635"/>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94BE82"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LsALtfHAQAAewMAAA4AAAAAAAAAAAAA&#10;AAAALgIAAGRycy9lMm9Eb2MueG1sUEsBAi0AFAAGAAgAAAAhAIZZYEnbAAAABAEAAA8AAAAAAAAA&#10;AAAAAAAAIQQAAGRycy9kb3ducmV2LnhtbFBLBQYAAAAABAAEAPMAAAApBQAAAAA=&#10;" o:allowincell="f" strokeweight=".25pt"/>
            </w:pict>
          </mc:Fallback>
        </mc:AlternateContent>
      </w:r>
      <w:r w:rsidR="00274771" w:rsidRPr="002C4D2B">
        <w:rPr>
          <w:lang w:val="en-US"/>
        </w:rPr>
        <w:t>SECTION 13 : Considérations relatives à l’élimination</w:t>
      </w:r>
    </w:p>
    <w:p w14:paraId="631978D8" w14:textId="77777777" w:rsidR="00077952" w:rsidRPr="002C4D2B" w:rsidRDefault="00077952" w:rsidP="00077952">
      <w:pPr>
        <w:pStyle w:val="SDStext"/>
        <w:widowControl/>
        <w:ind w:left="566"/>
        <w:rPr>
          <w:lang w:val="en-US"/>
        </w:rPr>
      </w:pPr>
      <w:r>
        <w:t>13.1. Méthodes de traitement des déchets</w:t>
      </w:r>
    </w:p>
    <w:p w14:paraId="633DE19D" w14:textId="77777777" w:rsidR="00077952" w:rsidRPr="002C4D2B" w:rsidRDefault="00077952" w:rsidP="00077952">
      <w:pPr>
        <w:pStyle w:val="SDStext"/>
        <w:widowControl/>
        <w:ind w:left="1133"/>
        <w:rPr>
          <w:lang w:val="en-US"/>
        </w:rPr>
      </w:pPr>
      <w:r>
        <w:t>Les codes déchets doivent être considérés comme des recommandations fondées sur l’utilisation prévisible de ce produit. Des codes différents peuvent être attribués en fonction de l’utilisation spécifique et des caractéristiques d’élimination de l’utilisateur.</w:t>
      </w:r>
    </w:p>
    <w:p w14:paraId="58053A7F" w14:textId="77777777" w:rsidR="00077952" w:rsidRPr="002C4D2B" w:rsidRDefault="00077952" w:rsidP="00077952">
      <w:pPr>
        <w:pStyle w:val="SDStext"/>
        <w:widowControl/>
        <w:ind w:left="1133"/>
        <w:rPr>
          <w:lang w:val="en-US"/>
        </w:rPr>
      </w:pPr>
      <w:r>
        <w:t>160504 gaz en récipients sous pression (y compris les halons) contenant des substances dangereuses. Récupérer si possible. Envoyer vers des installations d’élimination autorisées ou à l’incinération dans des conditions contrôlées. Opérer conformément aux réglementations locales et nationales en vigueur.</w:t>
      </w:r>
    </w:p>
    <w:p w14:paraId="5BA1FAA5" w14:textId="77777777" w:rsidR="00274771" w:rsidRPr="002C4D2B" w:rsidRDefault="00274771">
      <w:pPr>
        <w:pStyle w:val="SDStext"/>
        <w:widowControl/>
        <w:ind w:left="1133"/>
        <w:rPr>
          <w:lang w:val="en-US"/>
        </w:rPr>
      </w:pPr>
    </w:p>
    <w:p w14:paraId="701963FB" w14:textId="77777777" w:rsidR="00274771" w:rsidRPr="002C4D2B" w:rsidRDefault="00EA7600">
      <w:pPr>
        <w:pStyle w:val="Sectiontitle"/>
        <w:widowControl/>
        <w:rPr>
          <w:lang w:val="en-US"/>
        </w:rPr>
      </w:pPr>
      <w:r>
        <mc:AlternateContent>
          <mc:Choice Requires="wps">
            <w:drawing>
              <wp:anchor distT="0" distB="0" distL="114300" distR="114300" simplePos="0" relativeHeight="251663872" behindDoc="1" locked="0" layoutInCell="0" allowOverlap="1" wp14:anchorId="08ECA425" wp14:editId="7961C773">
                <wp:simplePos x="0" y="0"/>
                <wp:positionH relativeFrom="column">
                  <wp:posOffset>-35560</wp:posOffset>
                </wp:positionH>
                <wp:positionV relativeFrom="paragraph">
                  <wp:posOffset>0</wp:posOffset>
                </wp:positionV>
                <wp:extent cx="6065520" cy="635"/>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C1376E"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" o:allowincell="f" strokeweight=".25pt"/>
            </w:pict>
          </mc:Fallback>
        </mc:AlternateContent>
      </w:r>
      <w:r w:rsidR="00274771" w:rsidRPr="002C4D2B">
        <w:rPr>
          <w:lang w:val="en-US"/>
        </w:rPr>
        <w:t>SECTION 14 : Informations relatives au transport</w:t>
      </w:r>
    </w:p>
    <w:p w14:paraId="191D7E6F" w14:textId="77777777" w:rsidR="00077952" w:rsidRDefault="00077952" w:rsidP="00077952">
      <w:pPr>
        <w:pStyle w:val="TestoSDS"/>
        <w:widowControl/>
        <w:ind w:left="566"/>
      </w:pPr>
      <w:r>
        <w:t>14.1 Numéro ONU :</w:t>
      </w:r>
    </w:p>
    <w:p w14:paraId="1B8831AE" w14:textId="77777777" w:rsidR="00077952" w:rsidRDefault="00077952" w:rsidP="00077952">
      <w:pPr>
        <w:pStyle w:val="TestoSDS"/>
        <w:widowControl/>
        <w:ind w:left="3968" w:hanging="2834"/>
      </w:pPr>
      <w:r>
        <w:t>ADR - Numéro ONU :</w:t>
        <w:tab/>
        <w:t>A 1950</w:t>
      </w:r>
    </w:p>
    <w:p w14:paraId="52E6B361" w14:textId="77777777" w:rsidR="00077952" w:rsidRDefault="00077952" w:rsidP="00077952">
      <w:pPr>
        <w:pStyle w:val="TestoSDS"/>
        <w:widowControl/>
        <w:ind w:left="3968" w:hanging="2834"/>
      </w:pPr>
      <w:r>
        <w:t>IATA - Numéro ONU :</w:t>
        <w:tab/>
        <w:t>A 1950</w:t>
      </w:r>
    </w:p>
    <w:p w14:paraId="777C81E7" w14:textId="77777777" w:rsidR="00077952" w:rsidRDefault="00077952" w:rsidP="00077952">
      <w:pPr>
        <w:pStyle w:val="TestoSDS"/>
        <w:widowControl/>
        <w:ind w:left="3968" w:hanging="2834"/>
      </w:pPr>
      <w:r>
        <w:t>IMDG - NUMÉRO ONU :</w:t>
        <w:tab/>
        <w:t>A 1950</w:t>
      </w:r>
    </w:p>
    <w:p w14:paraId="7E9069CF" w14:textId="77777777" w:rsidR="00077952" w:rsidRPr="002C4D2B" w:rsidRDefault="00077952" w:rsidP="00077952">
      <w:pPr>
        <w:pStyle w:val="TestoSDS"/>
        <w:widowControl/>
        <w:ind w:left="566"/>
        <w:rPr>
          <w:lang w:val="en-US"/>
        </w:rPr>
      </w:pPr>
      <w:r>
        <w:t>14.2 Désignation officielle de transport de l’ONU :</w:t>
      </w:r>
    </w:p>
    <w:p w14:paraId="053823D0" w14:textId="77777777" w:rsidR="00077952" w:rsidRDefault="00077952" w:rsidP="00077952">
      <w:pPr>
        <w:pStyle w:val="TestoSDS"/>
        <w:widowControl/>
        <w:ind w:left="3968" w:hanging="2834"/>
        <w:rPr>
          <w:lang w:val="en-GB"/>
        </w:rPr>
      </w:pPr>
      <w:r>
        <w:t>ADR - Désignation d’expédition :</w:t>
        <w:tab/>
        <w:t>Aérosol</w:t>
      </w:r>
    </w:p>
    <w:p w14:paraId="55C28E8B" w14:textId="77777777" w:rsidR="00077952" w:rsidRDefault="00077952" w:rsidP="00077952">
      <w:pPr>
        <w:pStyle w:val="TestoSDS"/>
        <w:widowControl/>
        <w:ind w:left="3968" w:hanging="2834"/>
        <w:rPr>
          <w:lang w:val="en-GB"/>
        </w:rPr>
      </w:pPr>
      <w:r>
        <w:t>IATA - Nom technique :</w:t>
        <w:tab/>
        <w:t>Aérosol</w:t>
      </w:r>
    </w:p>
    <w:p w14:paraId="23E35C3D" w14:textId="77777777" w:rsidR="00077952" w:rsidRDefault="00077952" w:rsidP="00077952">
      <w:pPr>
        <w:pStyle w:val="TestoSDS"/>
        <w:widowControl/>
        <w:ind w:left="3968" w:hanging="2834"/>
        <w:rPr>
          <w:lang w:val="en-GB"/>
        </w:rPr>
      </w:pPr>
      <w:r>
        <w:t>IMDG - Nom technique :</w:t>
        <w:tab/>
        <w:t>Aérosol</w:t>
      </w:r>
    </w:p>
    <w:p w14:paraId="64565FA8" w14:textId="77777777" w:rsidR="00077952" w:rsidRPr="00BA4562" w:rsidRDefault="00077952" w:rsidP="00077952">
      <w:pPr>
        <w:pStyle w:val="TestoSDS"/>
        <w:widowControl/>
        <w:ind w:left="3968" w:hanging="2834"/>
        <w:rPr>
          <w:lang w:val="en-GB"/>
        </w:rPr>
      </w:pPr>
      <w:r>
        <w:t>Quantité limitée : max. 1000 ml. Masse brute totale du colis ne dépassant pas 30 kg LQ2</w:t>
      </w:r>
    </w:p>
    <w:p w14:paraId="60A0A584" w14:textId="77777777" w:rsidR="00077952" w:rsidRPr="002C4D2B" w:rsidRDefault="00077952" w:rsidP="00077952">
      <w:pPr>
        <w:pStyle w:val="TestoSDS"/>
        <w:widowControl/>
        <w:ind w:left="566"/>
        <w:rPr>
          <w:lang w:val="en-US"/>
        </w:rPr>
      </w:pPr>
      <w:r>
        <w:t>14.3 Classe(s) de danger pour le transport :</w:t>
      </w:r>
    </w:p>
    <w:p w14:paraId="0DFAB1F7" w14:textId="77777777" w:rsidR="00077952" w:rsidRPr="002C4D2B" w:rsidRDefault="00077952" w:rsidP="00077952">
      <w:pPr>
        <w:pStyle w:val="TestoSDS"/>
        <w:widowControl/>
        <w:ind w:left="3968" w:hanging="2834"/>
        <w:rPr>
          <w:lang w:val="en-US"/>
        </w:rPr>
      </w:pPr>
      <w:r>
        <w:t>ADR - Classe :</w:t>
        <w:tab/>
        <w:t>2.1</w:t>
      </w:r>
    </w:p>
    <w:p w14:paraId="658A119E" w14:textId="77777777" w:rsidR="00077952" w:rsidRDefault="00077952" w:rsidP="00077952">
      <w:pPr>
        <w:pStyle w:val="TestoSDS"/>
        <w:widowControl/>
        <w:ind w:left="3968" w:hanging="2834"/>
      </w:pPr>
      <w:r>
        <w:t>ADR - Étiquette :</w:t>
        <w:tab/>
        <w:t>UN 1950 Aérosols - Quantité limitée</w:t>
      </w:r>
    </w:p>
    <w:p w14:paraId="7CD2BFC6" w14:textId="77777777" w:rsidR="00077952" w:rsidRDefault="00077952" w:rsidP="00077952">
      <w:pPr>
        <w:pStyle w:val="TestoSDS"/>
        <w:widowControl/>
        <w:ind w:left="3968" w:hanging="2834"/>
      </w:pPr>
      <w:r>
        <w:t>IATA - Classe :</w:t>
        <w:tab/>
        <w:t>2.1</w:t>
      </w:r>
    </w:p>
    <w:p w14:paraId="3C1405EB" w14:textId="77777777" w:rsidR="00077952" w:rsidRDefault="00077952" w:rsidP="00077952">
      <w:pPr>
        <w:pStyle w:val="TestoSDS"/>
        <w:widowControl/>
        <w:ind w:left="3968" w:hanging="2834"/>
      </w:pPr>
      <w:r>
        <w:t>IATA - Étiquette :</w:t>
        <w:tab/>
        <w:t>2.1</w:t>
      </w:r>
    </w:p>
    <w:p w14:paraId="6733CCEE" w14:textId="77777777" w:rsidR="00077952" w:rsidRDefault="00077952" w:rsidP="00077952">
      <w:pPr>
        <w:pStyle w:val="TestoSDS"/>
        <w:widowControl/>
        <w:ind w:left="3968" w:hanging="2834"/>
      </w:pPr>
      <w:r>
        <w:t>IMDG - Classe :</w:t>
        <w:tab/>
        <w:t>2.1</w:t>
      </w:r>
    </w:p>
    <w:p w14:paraId="4949A804" w14:textId="77777777" w:rsidR="00077952" w:rsidRDefault="00077952" w:rsidP="00077952">
      <w:pPr>
        <w:pStyle w:val="TestoSDS"/>
        <w:widowControl/>
        <w:ind w:left="3968" w:hanging="2834"/>
      </w:pPr>
      <w:r>
        <w:t>IMDG - Étiquette :</w:t>
        <w:tab/>
        <w:t>UN 1950 Aérosols - Quantité limitée</w:t>
      </w:r>
    </w:p>
    <w:p w14:paraId="29BF8E53" w14:textId="77777777" w:rsidR="00077952" w:rsidRPr="002C4D2B" w:rsidRDefault="00077952" w:rsidP="00077952">
      <w:pPr>
        <w:pStyle w:val="TestoSDS"/>
        <w:widowControl/>
        <w:ind w:left="566"/>
        <w:rPr>
          <w:lang w:val="en-US"/>
        </w:rPr>
      </w:pPr>
      <w:r>
        <w:t>14.4 Groupe d’emballage :</w:t>
      </w:r>
    </w:p>
    <w:p w14:paraId="34C3DD12" w14:textId="77777777" w:rsidR="00077952" w:rsidRPr="002C4D2B" w:rsidRDefault="00077952" w:rsidP="00077952">
      <w:pPr>
        <w:pStyle w:val="TestoSDS"/>
        <w:widowControl/>
        <w:ind w:left="3968" w:hanging="2834"/>
        <w:rPr>
          <w:lang w:val="en-US"/>
        </w:rPr>
      </w:pPr>
      <w:r>
        <w:t>ADR - Groupe d’emballage :</w:t>
        <w:tab/>
        <w:t>na</w:t>
      </w:r>
    </w:p>
    <w:p w14:paraId="5904C9FD" w14:textId="77777777" w:rsidR="00077952" w:rsidRPr="002C4D2B" w:rsidRDefault="00077952" w:rsidP="00077952">
      <w:pPr>
        <w:pStyle w:val="TestoSDS"/>
        <w:widowControl/>
        <w:ind w:left="566"/>
        <w:rPr>
          <w:lang w:val="en-US"/>
        </w:rPr>
      </w:pPr>
      <w:r>
        <w:t>14.5 Dangers pour l’environnement</w:t>
      </w:r>
    </w:p>
    <w:p w14:paraId="27C5CF92" w14:textId="77777777" w:rsidR="00077952" w:rsidRPr="002C4D2B" w:rsidRDefault="00077952" w:rsidP="00077952">
      <w:pPr>
        <w:pStyle w:val="TestoSDS"/>
        <w:widowControl/>
        <w:ind w:left="566"/>
        <w:rPr>
          <w:lang w:val="en-US"/>
        </w:rPr>
      </w:pPr>
      <w:r>
        <w:tab/>
        <w:t>Polluant marin :</w:t>
        <w:tab/>
        <w:t xml:space="preserve">      Non</w:t>
      </w:r>
    </w:p>
    <w:p w14:paraId="6AB8D3A7" w14:textId="77777777" w:rsidR="00077952" w:rsidRPr="002C4D2B" w:rsidRDefault="00077952" w:rsidP="00077952">
      <w:pPr>
        <w:pStyle w:val="TestoSDS"/>
        <w:widowControl/>
        <w:ind w:left="566"/>
        <w:rPr>
          <w:lang w:val="en-US"/>
        </w:rPr>
      </w:pPr>
      <w:r>
        <w:t>14.6 Précautions particulières à prendre par l’utilisateur</w:t>
      </w:r>
    </w:p>
    <w:p w14:paraId="4F9C8FAC" w14:textId="77777777" w:rsidR="00077952" w:rsidRPr="002C4D2B" w:rsidRDefault="00077952" w:rsidP="00077952">
      <w:pPr>
        <w:pStyle w:val="TestoSDS"/>
        <w:widowControl/>
        <w:ind w:left="566"/>
        <w:rPr>
          <w:lang w:val="en-US"/>
        </w:rPr>
      </w:pPr>
      <w:r>
        <w:tab/>
        <w:t>IMDG - Nom technique</w:t>
        <w:tab/>
        <w:t xml:space="preserve">      Aérosols</w:t>
      </w:r>
    </w:p>
    <w:p w14:paraId="4440A9CD" w14:textId="77777777" w:rsidR="00077952" w:rsidRPr="00626685" w:rsidRDefault="00077952" w:rsidP="00077952">
      <w:pPr>
        <w:pStyle w:val="TestoSDS"/>
        <w:widowControl/>
        <w:ind w:left="3968" w:hanging="2834"/>
        <w:rPr>
          <w:lang w:val="en-GB"/>
        </w:rPr>
      </w:pPr>
      <w:r>
        <w:t>Quantité limitée : max. 1000 ml. Masse brute totale du colis ne dépassant pas 30 kg LQ2</w:t>
      </w:r>
    </w:p>
    <w:p w14:paraId="7FBF0206" w14:textId="77777777" w:rsidR="00077952" w:rsidRPr="002C4D2B" w:rsidRDefault="00077952" w:rsidP="00077952">
      <w:pPr>
        <w:pStyle w:val="TestoSDS"/>
        <w:widowControl/>
        <w:ind w:left="566"/>
        <w:rPr>
          <w:lang w:val="en-US"/>
        </w:rPr>
      </w:pPr>
      <w:r>
        <w:tab/>
        <w:t>IMDG-EMS : FD</w:t>
      </w:r>
    </w:p>
    <w:p w14:paraId="5DBD973D" w14:textId="77777777" w:rsidR="00077952" w:rsidRPr="002C4D2B" w:rsidRDefault="00077952" w:rsidP="00077952">
      <w:pPr>
        <w:pStyle w:val="TestoSDS"/>
        <w:widowControl/>
        <w:ind w:left="566"/>
        <w:rPr>
          <w:lang w:val="en-US"/>
        </w:rPr>
      </w:pPr>
      <w:r>
        <w:tab/>
        <w:t>IMDG-MFAG : SU</w:t>
        <w:tab/>
      </w:r>
    </w:p>
    <w:p w14:paraId="4D5FF120" w14:textId="77777777" w:rsidR="00077952" w:rsidRPr="002C4D2B" w:rsidRDefault="00077952" w:rsidP="00077952">
      <w:pPr>
        <w:pStyle w:val="TestoSDS"/>
        <w:widowControl/>
        <w:ind w:left="566"/>
        <w:rPr>
          <w:lang w:val="en-US"/>
        </w:rPr>
      </w:pPr>
      <w:r>
        <w:t>14.7 Transport maritime en vrac conformément à l’annexe II de MARPOL 73/78 et au code IBC</w:t>
      </w:r>
    </w:p>
    <w:p w14:paraId="74B23D07" w14:textId="77777777" w:rsidR="00077952" w:rsidRPr="002C4D2B" w:rsidRDefault="00077952" w:rsidP="00077952">
      <w:pPr>
        <w:pStyle w:val="TestoSDS"/>
        <w:widowControl/>
        <w:ind w:left="1133"/>
        <w:rPr>
          <w:lang w:val="en-US"/>
        </w:rPr>
      </w:pPr>
      <w:r>
        <w:t>Na</w:t>
      </w:r>
    </w:p>
    <w:p w14:paraId="74DC1EAA" w14:textId="77777777" w:rsidR="00274771" w:rsidRPr="002C4D2B" w:rsidRDefault="00274771">
      <w:pPr>
        <w:pStyle w:val="SDStext"/>
        <w:widowControl/>
        <w:ind w:left="1133"/>
        <w:rPr>
          <w:lang w:val="en-US"/>
        </w:rPr>
      </w:pPr>
    </w:p>
    <w:p w14:paraId="3B9159F7" w14:textId="77777777" w:rsidR="00274771" w:rsidRPr="002C4D2B" w:rsidRDefault="00EA7600">
      <w:pPr>
        <w:pStyle w:val="Sectiontitle"/>
        <w:widowControl/>
        <w:rPr>
          <w:lang w:val="en-US"/>
        </w:rPr>
      </w:pPr>
      <w:r>
        <mc:AlternateContent>
          <mc:Choice Requires="wps">
            <w:drawing>
              <wp:anchor distT="0" distB="0" distL="114300" distR="114300" simplePos="0" relativeHeight="251664896" behindDoc="1" locked="0" layoutInCell="0" allowOverlap="1" wp14:anchorId="372D86D5" wp14:editId="689A5D30">
                <wp:simplePos x="0" y="0"/>
                <wp:positionH relativeFrom="column">
                  <wp:posOffset>-35560</wp:posOffset>
                </wp:positionH>
                <wp:positionV relativeFrom="paragraph">
                  <wp:posOffset>0</wp:posOffset>
                </wp:positionV>
                <wp:extent cx="6065520" cy="635"/>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C315C" id="Line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" o:allowincell="f" strokeweight=".25pt"/>
            </w:pict>
          </mc:Fallback>
        </mc:AlternateContent>
      </w:r>
      <w:r w:rsidR="00274771" w:rsidRPr="002C4D2B">
        <w:rPr>
          <w:lang w:val="en-US"/>
        </w:rPr>
        <w:t>SECTION 15 : Informations relatives à la réglementation</w:t>
      </w:r>
    </w:p>
    <w:p w14:paraId="52353C76" w14:textId="77777777" w:rsidR="00641185" w:rsidRPr="002C4D2B" w:rsidRDefault="00641185" w:rsidP="00641185">
      <w:pPr>
        <w:pStyle w:val="SDSText0"/>
        <w:widowControl/>
        <w:ind w:left="566"/>
        <w:rPr>
          <w:lang w:val="en-US"/>
        </w:rPr>
      </w:pPr>
      <w:r>
        <w:t>15.1. Dispositions législatives et réglementaires relatives à la santé, à la sécurité et à l’environnement spécifiques à la substance ou au mélange</w:t>
      </w:r>
    </w:p>
    <w:p w14:paraId="5F5D4BA3" w14:textId="77777777" w:rsidR="00641185" w:rsidRPr="002C4D2B" w:rsidRDefault="00641185" w:rsidP="00641185">
      <w:pPr>
        <w:pStyle w:val="SDSText0"/>
        <w:widowControl/>
        <w:ind w:left="1133"/>
        <w:rPr>
          <w:lang w:val="en-US"/>
        </w:rPr>
      </w:pPr>
      <w:r>
        <w:t>Décret législatif italien 9/4/2008 n° 81</w:t>
      </w:r>
    </w:p>
    <w:p w14:paraId="192BA514" w14:textId="77777777" w:rsidR="00641185" w:rsidRPr="002C4D2B" w:rsidRDefault="00641185" w:rsidP="00641185">
      <w:pPr>
        <w:pStyle w:val="SDSText0"/>
        <w:widowControl/>
        <w:ind w:left="1133"/>
        <w:rPr>
          <w:lang w:val="en-US"/>
        </w:rPr>
      </w:pPr>
      <w:r>
        <w:t>Décret ministériel italien du travail 26/02/2004 (valeurs limites d’exposition professionnelle)</w:t>
      </w:r>
    </w:p>
    <w:p w14:paraId="3A68A338" w14:textId="77777777" w:rsidR="00641185" w:rsidRPr="002C4D2B" w:rsidRDefault="00641185" w:rsidP="00641185">
      <w:pPr>
        <w:pStyle w:val="SDSText0"/>
        <w:widowControl/>
        <w:ind w:left="1133"/>
        <w:rPr>
          <w:lang w:val="en-US"/>
        </w:rPr>
      </w:pPr>
      <w:r>
        <w:t>Règlement (CE) n° 1907/2006 (REACH)</w:t>
      </w:r>
    </w:p>
    <w:p w14:paraId="5B4A6299" w14:textId="77777777" w:rsidR="00641185" w:rsidRPr="002C4D2B" w:rsidRDefault="00641185" w:rsidP="00641185">
      <w:pPr>
        <w:pStyle w:val="SDSText0"/>
        <w:widowControl/>
        <w:ind w:left="1133"/>
        <w:rPr>
          <w:lang w:val="en-US"/>
        </w:rPr>
      </w:pPr>
      <w:r>
        <w:t>Règlement (CE) n° 1272/2008 (CLP)</w:t>
      </w:r>
    </w:p>
    <w:p w14:paraId="4FB57DD1" w14:textId="77777777" w:rsidR="00641185" w:rsidRPr="002C4D2B" w:rsidRDefault="00641185" w:rsidP="00641185">
      <w:pPr>
        <w:pStyle w:val="SDSText0"/>
        <w:widowControl/>
        <w:ind w:left="1133"/>
        <w:rPr>
          <w:lang w:val="en-US"/>
        </w:rPr>
      </w:pPr>
      <w:r>
        <w:t>Règlement (CE) n° 790/2009 (ATP 1 CLP) et règlement (UE) n° 758/2013</w:t>
      </w:r>
    </w:p>
    <w:p w14:paraId="00A8ACE5" w14:textId="77777777" w:rsidR="00641185" w:rsidRPr="002C4D2B" w:rsidRDefault="00641185" w:rsidP="00641185">
      <w:pPr>
        <w:pStyle w:val="SDSText0"/>
        <w:widowControl/>
        <w:ind w:left="1133"/>
        <w:rPr>
          <w:lang w:val="en-US"/>
        </w:rPr>
      </w:pPr>
      <w:r>
        <w:t>Règlement (UE) n° 2020/878</w:t>
      </w:r>
    </w:p>
    <w:p w14:paraId="61FD8B3B" w14:textId="77777777" w:rsidR="00641185" w:rsidRPr="002C4D2B" w:rsidRDefault="00641185" w:rsidP="00641185">
      <w:pPr>
        <w:pStyle w:val="SDSText0"/>
        <w:widowControl/>
        <w:ind w:left="1133"/>
        <w:rPr>
          <w:lang w:val="en-US"/>
        </w:rPr>
      </w:pPr>
      <w:r>
        <w:t>Règlement (UE) n° 286/2011 (ATP 2 CLP)</w:t>
      </w:r>
    </w:p>
    <w:p w14:paraId="56D33F8F" w14:textId="77777777" w:rsidR="00641185" w:rsidRPr="002C4D2B" w:rsidRDefault="00641185" w:rsidP="00641185">
      <w:pPr>
        <w:pStyle w:val="SDSText0"/>
        <w:widowControl/>
        <w:ind w:left="1133"/>
        <w:rPr>
          <w:lang w:val="en-US"/>
        </w:rPr>
      </w:pPr>
      <w:r>
        <w:t>Règlement (UE) n° 618/2012 (ATP 3 CLP)</w:t>
      </w:r>
    </w:p>
    <w:p w14:paraId="013A3030" w14:textId="77777777" w:rsidR="00641185" w:rsidRPr="002C4D2B" w:rsidRDefault="00641185" w:rsidP="00641185">
      <w:pPr>
        <w:pStyle w:val="SDSText0"/>
        <w:widowControl/>
        <w:ind w:left="1133"/>
        <w:rPr>
          <w:lang w:val="en-US"/>
        </w:rPr>
      </w:pPr>
      <w:r>
        <w:t>Règlement (UE) n° 487/2013 (ATP 4 CLP)</w:t>
      </w:r>
    </w:p>
    <w:p w14:paraId="30574FBF" w14:textId="77777777" w:rsidR="00641185" w:rsidRPr="002C4D2B" w:rsidRDefault="00641185" w:rsidP="00641185">
      <w:pPr>
        <w:pStyle w:val="SDSText0"/>
        <w:widowControl/>
        <w:ind w:left="1133"/>
        <w:rPr>
          <w:lang w:val="en-US"/>
        </w:rPr>
      </w:pPr>
      <w:r>
        <w:t>Règlement (UE) n° 944/2013 (ATP 5 CLP)</w:t>
      </w:r>
    </w:p>
    <w:p w14:paraId="209B0F9B" w14:textId="77777777" w:rsidR="00641185" w:rsidRPr="002C4D2B" w:rsidRDefault="00641185" w:rsidP="00641185">
      <w:pPr>
        <w:pStyle w:val="SDSText0"/>
        <w:widowControl/>
        <w:ind w:left="1133"/>
        <w:rPr>
          <w:lang w:val="en-US"/>
        </w:rPr>
      </w:pPr>
      <w:r>
        <w:t>Règlement (UE) n° 605/2014 (ATP 6 CLP)</w:t>
      </w:r>
    </w:p>
    <w:p w14:paraId="77B27BA5" w14:textId="77777777" w:rsidR="00641185" w:rsidRPr="002C4D2B" w:rsidRDefault="00641185" w:rsidP="00641185">
      <w:pPr>
        <w:pStyle w:val="SDSText0"/>
        <w:widowControl/>
        <w:ind w:left="1133"/>
        <w:rPr>
          <w:lang w:val="en-US"/>
        </w:rPr>
      </w:pPr>
      <w:r>
        <w:t>Règlement (UE) n° 2015/1221 (ATP 7 CLP)</w:t>
      </w:r>
    </w:p>
    <w:p w14:paraId="153E5255" w14:textId="77777777" w:rsidR="00641185" w:rsidRPr="002C4D2B" w:rsidRDefault="00641185" w:rsidP="00641185">
      <w:pPr>
        <w:pStyle w:val="SDSText0"/>
        <w:widowControl/>
        <w:ind w:left="1133"/>
        <w:rPr>
          <w:lang w:val="en-US"/>
        </w:rPr>
      </w:pPr>
      <w:r>
        <w:t>Règlement (UE) n° 2016/918 (ATP 8 CLP)</w:t>
      </w:r>
    </w:p>
    <w:p w14:paraId="12E9399C" w14:textId="77777777" w:rsidR="00641185" w:rsidRPr="002C4D2B" w:rsidRDefault="00641185" w:rsidP="00641185">
      <w:pPr>
        <w:pStyle w:val="SDSText0"/>
        <w:widowControl/>
        <w:ind w:left="1133"/>
        <w:rPr>
          <w:lang w:val="en-US"/>
        </w:rPr>
      </w:pPr>
      <w:r>
        <w:t>Règlement (UE) n° 2016/1179 (ATP 9 CLP)</w:t>
      </w:r>
    </w:p>
    <w:p w14:paraId="1853C807" w14:textId="77777777" w:rsidR="00641185" w:rsidRPr="002C4D2B" w:rsidRDefault="00641185" w:rsidP="00641185">
      <w:pPr>
        <w:pStyle w:val="SDSText0"/>
        <w:widowControl/>
        <w:ind w:left="1133"/>
        <w:rPr>
          <w:lang w:val="en-US"/>
        </w:rPr>
      </w:pPr>
      <w:r>
        <w:t>Règlement (UE) n° 2017/776 (ATP 10 CLP)</w:t>
      </w:r>
    </w:p>
    <w:p w14:paraId="612D6A6A" w14:textId="77777777" w:rsidR="00641185" w:rsidRPr="002C4D2B" w:rsidRDefault="00641185" w:rsidP="00641185">
      <w:pPr>
        <w:pStyle w:val="SDSText0"/>
        <w:widowControl/>
        <w:ind w:left="1133"/>
        <w:rPr>
          <w:lang w:val="en-US"/>
        </w:rPr>
      </w:pPr>
      <w:r>
        <w:t>Règlement (UE) n° 2018/669 (ATP 11 CLP)</w:t>
      </w:r>
    </w:p>
    <w:p w14:paraId="2658555A" w14:textId="77777777" w:rsidR="00641185" w:rsidRPr="002C4D2B" w:rsidRDefault="00641185" w:rsidP="00641185">
      <w:pPr>
        <w:pStyle w:val="SDSText0"/>
        <w:widowControl/>
        <w:ind w:left="1133"/>
        <w:rPr>
          <w:lang w:val="en-US"/>
        </w:rPr>
      </w:pPr>
      <w:r>
        <w:t>Règlement (UE) n° 2018/1480 (ATP 13 CLP)</w:t>
      </w:r>
    </w:p>
    <w:p w14:paraId="25CF264E" w14:textId="77777777" w:rsidR="00641185" w:rsidRPr="002C4D2B" w:rsidRDefault="00641185" w:rsidP="00641185">
      <w:pPr>
        <w:pStyle w:val="SDSText0"/>
        <w:widowControl/>
        <w:ind w:left="1133"/>
        <w:rPr>
          <w:lang w:val="en-US"/>
        </w:rPr>
      </w:pPr>
      <w:r>
        <w:t>Règlement (UE) n° 2019/521 (ATP 12 CLP)</w:t>
      </w:r>
    </w:p>
    <w:p w14:paraId="16FD3230" w14:textId="77777777" w:rsidR="00641185" w:rsidRPr="002C4D2B" w:rsidRDefault="00641185" w:rsidP="00641185">
      <w:pPr>
        <w:pStyle w:val="SDSText0"/>
        <w:widowControl/>
        <w:ind w:left="1133"/>
        <w:rPr>
          <w:lang w:val="en-US"/>
        </w:rPr>
      </w:pPr>
      <w:r>
        <w:t>Règlement (UE) n° 2020/217 (ATP 14 CLP)</w:t>
      </w:r>
    </w:p>
    <w:p w14:paraId="0A7B2997" w14:textId="77777777" w:rsidR="00641185" w:rsidRPr="002C4D2B" w:rsidRDefault="00641185" w:rsidP="00641185">
      <w:pPr>
        <w:pStyle w:val="SDSText0"/>
        <w:widowControl/>
        <w:ind w:left="1133"/>
        <w:rPr>
          <w:lang w:val="en-US"/>
        </w:rPr>
      </w:pPr>
      <w:r>
        <w:t>Règlement (UE) n° 2020/1182 (ATP 15 CLP)</w:t>
      </w:r>
    </w:p>
    <w:p w14:paraId="31F74AA4" w14:textId="77777777" w:rsidR="00641185" w:rsidRPr="002C4D2B" w:rsidRDefault="00641185" w:rsidP="00641185">
      <w:pPr>
        <w:pStyle w:val="SDSText0"/>
        <w:widowControl/>
        <w:ind w:left="1133"/>
        <w:rPr>
          <w:lang w:val="en-US"/>
        </w:rPr>
      </w:pPr>
      <w:r>
        <w:t>Règlement (UE) n° 2021/643 (ATP 16 CLP)</w:t>
      </w:r>
    </w:p>
    <w:p w14:paraId="76F745AC" w14:textId="77777777" w:rsidR="00641185" w:rsidRPr="002C4D2B" w:rsidRDefault="00641185" w:rsidP="00641185">
      <w:pPr>
        <w:pStyle w:val="SDSText0"/>
        <w:widowControl/>
        <w:ind w:left="1133"/>
        <w:rPr>
          <w:lang w:val="en-US"/>
        </w:rPr>
      </w:pPr>
      <w:r>
        <w:t>Règlement (UE) n° 2021/849 (ATP 17 CLP)</w:t>
      </w:r>
    </w:p>
    <w:p w14:paraId="0738DE5C" w14:textId="77777777" w:rsidR="00641185" w:rsidRPr="002C4D2B" w:rsidRDefault="00641185" w:rsidP="00641185">
      <w:pPr>
        <w:pStyle w:val="SDSText0"/>
        <w:widowControl/>
        <w:ind w:left="1133"/>
        <w:rPr>
          <w:lang w:val="en-US"/>
        </w:rPr>
      </w:pPr>
      <w:r>
        <w:t>Règlement (UE) n° 2022/692 (ATP 18 CLP)</w:t>
      </w:r>
    </w:p>
    <w:p w14:paraId="2BB7211A" w14:textId="77777777" w:rsidR="00641185" w:rsidRPr="002C4D2B" w:rsidRDefault="00641185" w:rsidP="00641185">
      <w:pPr>
        <w:pStyle w:val="SDSText0"/>
        <w:widowControl/>
        <w:ind w:left="1133"/>
        <w:rPr>
          <w:lang w:val="en-US"/>
        </w:rPr>
      </w:pPr>
      <w:r>
        <w:t>Règlement (UE) n° 2023/707</w:t>
      </w:r>
    </w:p>
    <w:p w14:paraId="2B7DA655" w14:textId="77777777" w:rsidR="00641185" w:rsidRPr="002C4D2B" w:rsidRDefault="00641185" w:rsidP="00641185">
      <w:pPr>
        <w:pStyle w:val="SDSText0"/>
        <w:widowControl/>
        <w:ind w:left="1133"/>
        <w:rPr>
          <w:lang w:val="en-US"/>
        </w:rPr>
      </w:pPr>
      <w:r>
        <w:t>Règlement (UE) n° 2023/1434 (ATP 19 CLP)</w:t>
      </w:r>
    </w:p>
    <w:p w14:paraId="0E62D416" w14:textId="77777777" w:rsidR="00641185" w:rsidRPr="002C4D2B" w:rsidRDefault="00641185" w:rsidP="00641185">
      <w:pPr>
        <w:pStyle w:val="SDSText0"/>
        <w:widowControl/>
        <w:ind w:left="1133"/>
        <w:rPr>
          <w:lang w:val="en-US"/>
        </w:rPr>
      </w:pPr>
      <w:r>
        <w:t>Règlement (UE) n° 2023/1435 (ATP 20 CLP)</w:t>
      </w:r>
    </w:p>
    <w:p w14:paraId="006F153B" w14:textId="77777777" w:rsidR="00641185" w:rsidRPr="002C4D2B" w:rsidRDefault="00641185" w:rsidP="00641185">
      <w:pPr>
        <w:pStyle w:val="SDSText0"/>
        <w:widowControl/>
        <w:ind w:left="1133"/>
        <w:rPr>
          <w:lang w:val="en-US"/>
        </w:rPr>
      </w:pPr>
      <w:r>
        <w:t>Règlement (UE) n° 2024/197 (ATP 21 CLP)</w:t>
      </w:r>
    </w:p>
    <w:p w14:paraId="408E259E" w14:textId="77777777" w:rsidR="00641185" w:rsidRPr="002C4D2B" w:rsidRDefault="00641185" w:rsidP="00641185">
      <w:pPr>
        <w:pStyle w:val="SDSText0"/>
        <w:widowControl/>
        <w:ind w:left="566"/>
        <w:rPr>
          <w:lang w:val="en-US"/>
        </w:rPr>
      </w:pPr>
      <w:r>
        <w:t>Restrictions relatives au produit ou aux substances qu’il contient conformément à l’annexe XVII du règlement (CE) 1907/2006 (REACH) et ses modifications ultérieures :</w:t>
      </w:r>
    </w:p>
    <w:p w14:paraId="2845E62F" w14:textId="77777777" w:rsidR="00641185" w:rsidRPr="002C4D2B" w:rsidRDefault="00641185" w:rsidP="00641185">
      <w:pPr>
        <w:pStyle w:val="SDSText0"/>
        <w:widowControl/>
        <w:ind w:left="1133"/>
        <w:rPr>
          <w:lang w:val="en-US"/>
        </w:rPr>
      </w:pPr>
      <w:r>
        <w:t>Restrictions relatives au produit :</w:t>
      </w:r>
    </w:p>
    <w:p w14:paraId="1C9C5877" w14:textId="77777777" w:rsidR="00641185" w:rsidRPr="002C4D2B" w:rsidRDefault="00641185" w:rsidP="00641185">
      <w:pPr>
        <w:pStyle w:val="SDSText0"/>
        <w:widowControl/>
        <w:ind w:left="1700"/>
        <w:rPr>
          <w:lang w:val="en-US"/>
        </w:rPr>
      </w:pPr>
      <w:r>
        <w:t>Restriction 3</w:t>
      </w:r>
    </w:p>
    <w:p w14:paraId="34FA9A55" w14:textId="77777777" w:rsidR="00641185" w:rsidRPr="002C4D2B" w:rsidRDefault="00641185" w:rsidP="00641185">
      <w:pPr>
        <w:pStyle w:val="SDSText0"/>
        <w:widowControl/>
        <w:ind w:left="1700"/>
        <w:rPr>
          <w:lang w:val="en-US"/>
        </w:rPr>
      </w:pPr>
      <w:r>
        <w:t>Restriction 40</w:t>
      </w:r>
    </w:p>
    <w:p w14:paraId="0CFF8533" w14:textId="77777777" w:rsidR="00641185" w:rsidRPr="002C4D2B" w:rsidRDefault="00641185" w:rsidP="00641185">
      <w:pPr>
        <w:pStyle w:val="SDSText0"/>
        <w:widowControl/>
        <w:ind w:left="1133"/>
        <w:rPr>
          <w:lang w:val="en-US"/>
        </w:rPr>
      </w:pPr>
      <w:r>
        <w:t>Restrictions relatives aux substances contenues :</w:t>
      </w:r>
    </w:p>
    <w:p w14:paraId="41A5B298" w14:textId="77777777" w:rsidR="00641185" w:rsidRPr="002C4D2B" w:rsidRDefault="00641185" w:rsidP="00641185">
      <w:pPr>
        <w:pStyle w:val="SDSText0"/>
        <w:widowControl/>
        <w:ind w:left="1700"/>
        <w:rPr>
          <w:lang w:val="en-US"/>
        </w:rPr>
      </w:pPr>
      <w:r>
        <w:t>Restriction 75</w:t>
      </w:r>
    </w:p>
    <w:p w14:paraId="0CC14C7C" w14:textId="77777777" w:rsidR="00641185" w:rsidRPr="002C4D2B" w:rsidRDefault="00641185" w:rsidP="00641185">
      <w:pPr>
        <w:pStyle w:val="SDSText0"/>
        <w:widowControl/>
        <w:ind w:left="566"/>
        <w:rPr>
          <w:lang w:val="en-US"/>
        </w:rPr>
      </w:pPr>
      <w:r>
        <w:t>Le cas échéant, se référer aux réglementations suivantes :</w:t>
      </w:r>
    </w:p>
    <w:p w14:paraId="6E9FEDA9" w14:textId="77777777" w:rsidR="00641185" w:rsidRPr="002C4D2B" w:rsidRDefault="00641185" w:rsidP="00641185">
      <w:pPr>
        <w:pStyle w:val="SDSText0"/>
        <w:widowControl/>
        <w:ind w:left="1133"/>
        <w:rPr>
          <w:lang w:val="en-US"/>
        </w:rPr>
      </w:pPr>
      <w:r>
        <w:t>Circulaires ministérielles italiennes 46 et 61 (amines aromatiques).</w:t>
      </w:r>
    </w:p>
    <w:p w14:paraId="086D6A94" w14:textId="77777777" w:rsidR="00641185" w:rsidRPr="002C4D2B" w:rsidRDefault="00641185" w:rsidP="00641185">
      <w:pPr>
        <w:pStyle w:val="SDSText0"/>
        <w:widowControl/>
        <w:ind w:left="1133"/>
        <w:rPr>
          <w:lang w:val="en-US"/>
        </w:rPr>
      </w:pPr>
      <w:r>
        <w:t>Directive 2012/18/UE (Seveso III)</w:t>
      </w:r>
    </w:p>
    <w:p w14:paraId="689E5EBE" w14:textId="77777777" w:rsidR="00641185" w:rsidRPr="002C4D2B" w:rsidRDefault="00641185" w:rsidP="00641185">
      <w:pPr>
        <w:pStyle w:val="SDSText0"/>
        <w:widowControl/>
        <w:ind w:left="1133"/>
        <w:rPr>
          <w:lang w:val="en-US"/>
        </w:rPr>
      </w:pPr>
      <w:r>
        <w:t>Règlement 648/2004/CE (détergents).</w:t>
      </w:r>
    </w:p>
    <w:p w14:paraId="1EA59AF5" w14:textId="77777777" w:rsidR="00641185" w:rsidRPr="002C4D2B" w:rsidRDefault="00641185" w:rsidP="00641185">
      <w:pPr>
        <w:pStyle w:val="SDSText0"/>
        <w:widowControl/>
        <w:ind w:left="1133"/>
        <w:rPr>
          <w:lang w:val="en-US"/>
        </w:rPr>
      </w:pPr>
      <w:r>
        <w:t>Décret législatif italien 3/4/2006 n° 152 - réglementation environnementale</w:t>
      </w:r>
    </w:p>
    <w:p w14:paraId="52366D1D" w14:textId="77777777" w:rsidR="00641185" w:rsidRPr="002C4D2B" w:rsidRDefault="00641185" w:rsidP="00641185">
      <w:pPr>
        <w:pStyle w:val="SDSText0"/>
        <w:widowControl/>
        <w:ind w:left="1133"/>
        <w:rPr>
          <w:lang w:val="en-US"/>
        </w:rPr>
      </w:pPr>
      <w:r>
        <w:t>Dir. 2004/42/CE (directive COV)</w:t>
      </w:r>
    </w:p>
    <w:p w14:paraId="0D04CFA6" w14:textId="77777777" w:rsidR="00641185" w:rsidRPr="002C4D2B" w:rsidRDefault="00641185" w:rsidP="00641185">
      <w:pPr>
        <w:pStyle w:val="SDSText0"/>
        <w:widowControl/>
        <w:ind w:left="566"/>
        <w:rPr>
          <w:lang w:val="en-US"/>
        </w:rPr>
      </w:pPr>
    </w:p>
    <w:p w14:paraId="0C9ECC2E" w14:textId="77777777" w:rsidR="00641185" w:rsidRPr="002C4D2B" w:rsidRDefault="00641185" w:rsidP="00641185">
      <w:pPr>
        <w:pStyle w:val="SDSText0"/>
        <w:widowControl/>
        <w:ind w:left="566"/>
        <w:rPr>
          <w:lang w:val="en-US"/>
        </w:rPr>
      </w:pPr>
      <w:r>
        <w:t>Dispositions relatives à la directive UE 2012/18 (Seveso III) :</w:t>
      </w:r>
    </w:p>
    <w:p w14:paraId="430BAF04" w14:textId="77777777" w:rsidR="00641185" w:rsidRPr="002C4D2B" w:rsidRDefault="00641185" w:rsidP="00641185">
      <w:pPr>
        <w:pStyle w:val="SDSText0"/>
        <w:widowControl/>
        <w:ind w:left="1133"/>
        <w:rPr>
          <w:lang w:val="en-US"/>
        </w:rPr>
      </w:pPr>
      <w:r>
        <w:t>Catégorie Seveso III conformément à l’annexe 1, partie 1</w:t>
      </w:r>
    </w:p>
    <w:p w14:paraId="32461009" w14:textId="77777777" w:rsidR="00641185" w:rsidRPr="002C4D2B" w:rsidRDefault="00641185" w:rsidP="00641185">
      <w:pPr>
        <w:pStyle w:val="SDSText0"/>
        <w:widowControl/>
        <w:ind w:left="1700"/>
        <w:rPr>
          <w:lang w:val="en-US"/>
        </w:rPr>
      </w:pPr>
      <w:r>
        <w:t>Le produit appartient aux catégories : P3a</w:t>
      </w:r>
    </w:p>
    <w:p w14:paraId="44E1EC1B" w14:textId="77777777" w:rsidR="00641185" w:rsidRPr="002C4D2B" w:rsidRDefault="00641185" w:rsidP="00641185">
      <w:pPr>
        <w:pStyle w:val="SDSText0"/>
        <w:widowControl/>
        <w:ind w:left="1700"/>
        <w:rPr>
          <w:lang w:val="en-US"/>
        </w:rPr>
      </w:pPr>
    </w:p>
    <w:p w14:paraId="2A2BA28C" w14:textId="77777777" w:rsidR="00641185" w:rsidRPr="002C4D2B" w:rsidRDefault="00641185" w:rsidP="00641185">
      <w:pPr>
        <w:pStyle w:val="SDSText0"/>
        <w:widowControl/>
        <w:ind w:left="566"/>
        <w:rPr>
          <w:lang w:val="en-US"/>
        </w:rPr>
      </w:pPr>
      <w:r>
        <w:t>15.2. Évaluation de la sécurité chimique</w:t>
      </w:r>
    </w:p>
    <w:p w14:paraId="6707AD6C" w14:textId="77777777" w:rsidR="00641185" w:rsidRPr="002C4D2B" w:rsidRDefault="00641185" w:rsidP="00641185">
      <w:pPr>
        <w:pStyle w:val="SDSText0"/>
        <w:widowControl/>
        <w:ind w:left="1133"/>
        <w:rPr>
          <w:lang w:val="en-US"/>
        </w:rPr>
      </w:pPr>
      <w:r>
        <w:t>Aucune évaluation de la sécurité chimique n’a été effectuée pour le mélange.</w:t>
      </w:r>
    </w:p>
    <w:p w14:paraId="2C94FCE6" w14:textId="77777777" w:rsidR="00641185" w:rsidRPr="002C4D2B" w:rsidRDefault="00641185" w:rsidP="00641185">
      <w:pPr>
        <w:pStyle w:val="SDSText0"/>
        <w:widowControl/>
        <w:ind w:left="1133"/>
        <w:rPr>
          <w:lang w:val="en-US"/>
        </w:rPr>
      </w:pPr>
    </w:p>
    <w:p w14:paraId="6AB6D646" w14:textId="77777777" w:rsidR="00641185" w:rsidRPr="002C4D2B" w:rsidRDefault="00EA7600" w:rsidP="00641185">
      <w:pPr>
        <w:pStyle w:val="SectionTitle0"/>
        <w:widowControl/>
        <w:rPr>
          <w:lang w:val="en-US"/>
        </w:rPr>
      </w:pPr>
      <w:r>
        <mc:AlternateContent>
          <mc:Choice Requires="wps">
            <w:drawing>
              <wp:anchor distT="0" distB="0" distL="114300" distR="114300" simplePos="0" relativeHeight="251665920" behindDoc="1" locked="0" layoutInCell="0" allowOverlap="1" wp14:anchorId="04F5E30B" wp14:editId="6813BFFC">
                <wp:simplePos x="0" y="0"/>
                <wp:positionH relativeFrom="column">
                  <wp:posOffset>-35560</wp:posOffset>
                </wp:positionH>
                <wp:positionV relativeFrom="paragraph">
                  <wp:posOffset>0</wp:posOffset>
                </wp:positionV>
                <wp:extent cx="6065520" cy="635"/>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7DBF71" id="Line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0" to="47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" o:allowincell="f" strokeweight=".25pt"/>
            </w:pict>
          </mc:Fallback>
        </mc:AlternateContent>
      </w:r>
      <w:r w:rsidR="00641185" w:rsidRPr="002C4D2B">
        <w:rPr>
          <w:lang w:val="en-US"/>
        </w:rPr>
        <w:t>SECTION 16 : Autres informations</w:t>
      </w:r>
    </w:p>
    <w:p w14:paraId="034729A7" w14:textId="77777777" w:rsidR="00641185" w:rsidRPr="002C4D2B" w:rsidRDefault="00641185" w:rsidP="00641185">
      <w:pPr>
        <w:pStyle w:val="SDSText0"/>
        <w:widowControl/>
        <w:ind w:left="566"/>
        <w:rPr>
          <w:lang w:val="en-US"/>
        </w:rPr>
      </w:pPr>
      <w:r>
        <w:t>Texte des phrases utilisées au paragraphe 3 :</w:t>
      </w:r>
    </w:p>
    <w:p w14:paraId="5C15A68F" w14:textId="77777777" w:rsidR="00641185" w:rsidRPr="002C4D2B" w:rsidRDefault="00641185" w:rsidP="00641185">
      <w:pPr>
        <w:pStyle w:val="SDSText0"/>
        <w:widowControl/>
        <w:ind w:left="1133"/>
        <w:rPr>
          <w:lang w:val="en-US"/>
        </w:rPr>
      </w:pPr>
      <w:r>
        <w:t>H225 Liquide et vapeurs très inflammables.</w:t>
      </w:r>
    </w:p>
    <w:p w14:paraId="45A3B350" w14:textId="77777777" w:rsidR="00641185" w:rsidRPr="002C4D2B" w:rsidRDefault="00641185" w:rsidP="00641185">
      <w:pPr>
        <w:pStyle w:val="SDSText0"/>
        <w:widowControl/>
        <w:ind w:left="1133"/>
        <w:rPr>
          <w:lang w:val="en-US"/>
        </w:rPr>
      </w:pPr>
      <w:r>
        <w:t>H319 Provoque une sévère irritation des yeux.</w:t>
      </w:r>
    </w:p>
    <w:p w14:paraId="3422DC1B" w14:textId="77777777" w:rsidR="00641185" w:rsidRPr="002C4D2B" w:rsidRDefault="00641185" w:rsidP="00641185">
      <w:pPr>
        <w:pStyle w:val="SDSText0"/>
        <w:widowControl/>
        <w:ind w:left="1133"/>
        <w:rPr>
          <w:lang w:val="en-US"/>
        </w:rPr>
      </w:pPr>
      <w:r>
        <w:t>H336 Peut provoquer somnolence ou vertiges.</w:t>
      </w:r>
    </w:p>
    <w:p w14:paraId="3862BBB2" w14:textId="77777777" w:rsidR="00641185" w:rsidRPr="002C4D2B" w:rsidRDefault="00641185" w:rsidP="00641185">
      <w:pPr>
        <w:pStyle w:val="SDSText0"/>
        <w:widowControl/>
        <w:ind w:left="1133"/>
        <w:rPr>
          <w:lang w:val="en-US"/>
        </w:rPr>
      </w:pPr>
      <w:r>
        <w:t>EUH066 L’exposition répétée peut provoquer dessèchement ou gerçures de la peau.</w:t>
      </w:r>
    </w:p>
    <w:p w14:paraId="3EC764DF" w14:textId="77777777" w:rsidR="00641185" w:rsidRPr="002C4D2B" w:rsidRDefault="00641185" w:rsidP="00641185">
      <w:pPr>
        <w:pStyle w:val="SDSText0"/>
        <w:widowControl/>
        <w:ind w:left="1133"/>
        <w:rPr>
          <w:lang w:val="en-US"/>
        </w:rPr>
      </w:pPr>
      <w:r>
        <w:t>H220 Gaz extrêmement inflammable.</w:t>
      </w:r>
    </w:p>
    <w:p w14:paraId="02758440" w14:textId="77777777" w:rsidR="00641185" w:rsidRPr="002C4D2B" w:rsidRDefault="00641185" w:rsidP="00641185">
      <w:pPr>
        <w:pStyle w:val="SDSText0"/>
        <w:widowControl/>
        <w:ind w:left="1133"/>
        <w:rPr>
          <w:lang w:val="en-US"/>
        </w:rPr>
      </w:pPr>
      <w:r>
        <w:t>H280 Contient un gaz sous pression ; peut exploser sous l’effet de la chaleur.</w:t>
      </w:r>
    </w:p>
    <w:p w14:paraId="715F386E" w14:textId="77777777" w:rsidR="00641185" w:rsidRPr="002C4D2B" w:rsidRDefault="00641185" w:rsidP="00641185">
      <w:pPr>
        <w:pStyle w:val="SDSText0"/>
        <w:widowControl/>
        <w:ind w:left="566"/>
        <w:rPr>
          <w:lang w:val="en-US"/>
        </w:rPr>
      </w:pPr>
    </w:p>
    <w:tbl>
      <w:tblPr>
        <w:tblW w:w="0" w:type="auto"/>
        <w:tblInd w:w="566" w:type="dxa"/>
        <w:tblBorders>
          <w:top w:val="single" w:sz="14" w:space="0" w:color="000000"/>
          <w:left w:val="single" w:sz="14" w:space="0" w:color="000000"/>
          <w:bottom w:val="single" w:sz="14" w:space="0" w:color="000000"/>
          <w:right w:val="single" w:sz="14" w:space="0" w:color="000000"/>
        </w:tblBorders>
        <w:tblLayout w:type="fixed"/>
        <w:tblCellMar>
          <w:left w:w="68" w:type="dxa"/>
          <w:right w:w="68" w:type="dxa"/>
        </w:tblCellMar>
        <w:tblLook w:val="0000" w:firstRow="0" w:lastRow="0" w:firstColumn="0" w:lastColumn="0" w:noHBand="0" w:noVBand="0"/>
      </w:tblPr>
      <w:tblGrid>
        <w:gridCol w:w="2268"/>
        <w:gridCol w:w="1701"/>
        <w:gridCol w:w="4422"/>
      </w:tblGrid>
      <w:tr w:rsidR="00641185" w14:paraId="2586F5C0"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6D04C21B" w14:textId="77777777" w:rsidR="00641185" w:rsidRDefault="00641185" w:rsidP="002640EB">
            <w:pPr>
              <w:pStyle w:val="ReportHeader0"/>
              <w:widowControl/>
              <w:rPr>
                <w:sz w:val="20"/>
                <w:szCs w:val="20"/>
              </w:rPr>
            </w:pPr>
            <w:r>
              <w:t>Classe et catégorie de danger</w:t>
            </w:r>
          </w:p>
        </w:tc>
        <w:tc>
          <w:tcPr>
            <w:tcW w:w="1701" w:type="dxa"/>
            <w:tcBorders>
              <w:top w:val="single" w:sz="6" w:space="0" w:color="000000"/>
              <w:left w:val="single" w:sz="6" w:space="0" w:color="000000"/>
              <w:bottom w:val="single" w:sz="6" w:space="0" w:color="000000"/>
              <w:right w:val="single" w:sz="6" w:space="0" w:color="000000"/>
            </w:tcBorders>
          </w:tcPr>
          <w:p w14:paraId="6A97772C" w14:textId="77777777" w:rsidR="00641185" w:rsidRDefault="00641185" w:rsidP="002640EB">
            <w:pPr>
              <w:pStyle w:val="ReportHeader0"/>
              <w:widowControl/>
              <w:rPr>
                <w:sz w:val="20"/>
                <w:szCs w:val="20"/>
              </w:rPr>
            </w:pPr>
            <w:r>
              <w:t>Code</w:t>
            </w:r>
          </w:p>
        </w:tc>
        <w:tc>
          <w:tcPr>
            <w:tcW w:w="4422" w:type="dxa"/>
            <w:tcBorders>
              <w:top w:val="single" w:sz="6" w:space="0" w:color="000000"/>
              <w:left w:val="single" w:sz="6" w:space="0" w:color="000000"/>
              <w:bottom w:val="single" w:sz="6" w:space="0" w:color="000000"/>
              <w:right w:val="single" w:sz="6" w:space="0" w:color="000000"/>
            </w:tcBorders>
          </w:tcPr>
          <w:p w14:paraId="4FC3CC71" w14:textId="77777777" w:rsidR="00641185" w:rsidRDefault="00641185" w:rsidP="002640EB">
            <w:pPr>
              <w:pStyle w:val="ReportHeader0"/>
              <w:widowControl/>
              <w:rPr>
                <w:sz w:val="20"/>
                <w:szCs w:val="20"/>
              </w:rPr>
            </w:pPr>
            <w:r>
              <w:t>Description</w:t>
            </w:r>
          </w:p>
        </w:tc>
      </w:tr>
      <w:tr w:rsidR="00641185" w14:paraId="4B6A32DD"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458E9367" w14:textId="77777777" w:rsidR="00641185" w:rsidRDefault="00641185" w:rsidP="002640EB">
            <w:pPr>
              <w:pStyle w:val="ReportHeader0"/>
              <w:widowControl/>
              <w:rPr>
                <w:sz w:val="20"/>
                <w:szCs w:val="20"/>
              </w:rPr>
            </w:pPr>
            <w:r>
              <w:rPr>
                <w:sz w:val="20"/>
                <w:szCs w:val="20"/>
              </w:rPr>
              <w:t>Flam. Gas 1</w:t>
            </w:r>
          </w:p>
        </w:tc>
        <w:tc>
          <w:tcPr>
            <w:tcW w:w="1701" w:type="dxa"/>
            <w:tcBorders>
              <w:top w:val="single" w:sz="6" w:space="0" w:color="000000"/>
              <w:left w:val="single" w:sz="6" w:space="0" w:color="000000"/>
              <w:bottom w:val="single" w:sz="6" w:space="0" w:color="000000"/>
              <w:right w:val="single" w:sz="6" w:space="0" w:color="000000"/>
            </w:tcBorders>
          </w:tcPr>
          <w:p w14:paraId="09B9A94B" w14:textId="77777777" w:rsidR="00641185" w:rsidRDefault="00641185" w:rsidP="002640EB">
            <w:pPr>
              <w:pStyle w:val="ReportHeader0"/>
              <w:widowControl/>
              <w:rPr>
                <w:sz w:val="20"/>
                <w:szCs w:val="20"/>
              </w:rPr>
            </w:pPr>
            <w:r>
              <w:rPr>
                <w:sz w:val="20"/>
                <w:szCs w:val="20"/>
              </w:rPr>
              <w:t>2.2/1</w:t>
            </w:r>
          </w:p>
        </w:tc>
        <w:tc>
          <w:tcPr>
            <w:tcW w:w="4422" w:type="dxa"/>
            <w:tcBorders>
              <w:top w:val="single" w:sz="6" w:space="0" w:color="000000"/>
              <w:left w:val="single" w:sz="6" w:space="0" w:color="000000"/>
              <w:bottom w:val="single" w:sz="6" w:space="0" w:color="000000"/>
              <w:right w:val="single" w:sz="6" w:space="0" w:color="000000"/>
            </w:tcBorders>
          </w:tcPr>
          <w:p w14:paraId="32A051AD" w14:textId="77777777" w:rsidR="00641185" w:rsidRDefault="00641185" w:rsidP="002640EB">
            <w:pPr>
              <w:pStyle w:val="ReportHeader0"/>
              <w:widowControl/>
              <w:rPr>
                <w:sz w:val="20"/>
                <w:szCs w:val="20"/>
              </w:rPr>
            </w:pPr>
            <w:r>
              <w:t>Gaz inflammable, catégorie 1</w:t>
            </w:r>
          </w:p>
        </w:tc>
      </w:tr>
      <w:tr w:rsidR="00641185" w14:paraId="71EB1053"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442E1A08" w14:textId="77777777" w:rsidR="00641185" w:rsidRDefault="00641185" w:rsidP="002640EB">
            <w:pPr>
              <w:pStyle w:val="ReportHeader0"/>
              <w:widowControl/>
              <w:rPr>
                <w:sz w:val="20"/>
                <w:szCs w:val="20"/>
              </w:rPr>
            </w:pPr>
            <w:r>
              <w:rPr>
                <w:sz w:val="20"/>
                <w:szCs w:val="20"/>
              </w:rPr>
              <w:t>Aerosols 1</w:t>
            </w:r>
          </w:p>
        </w:tc>
        <w:tc>
          <w:tcPr>
            <w:tcW w:w="1701" w:type="dxa"/>
            <w:tcBorders>
              <w:top w:val="single" w:sz="6" w:space="0" w:color="000000"/>
              <w:left w:val="single" w:sz="6" w:space="0" w:color="000000"/>
              <w:bottom w:val="single" w:sz="6" w:space="0" w:color="000000"/>
              <w:right w:val="single" w:sz="6" w:space="0" w:color="000000"/>
            </w:tcBorders>
          </w:tcPr>
          <w:p w14:paraId="37A98544" w14:textId="77777777" w:rsidR="00641185" w:rsidRDefault="00641185" w:rsidP="002640EB">
            <w:pPr>
              <w:pStyle w:val="ReportHeader0"/>
              <w:widowControl/>
              <w:rPr>
                <w:sz w:val="20"/>
                <w:szCs w:val="20"/>
              </w:rPr>
            </w:pPr>
            <w:r>
              <w:rPr>
                <w:sz w:val="20"/>
                <w:szCs w:val="20"/>
              </w:rPr>
              <w:t>2.3/1</w:t>
            </w:r>
          </w:p>
        </w:tc>
        <w:tc>
          <w:tcPr>
            <w:tcW w:w="4422" w:type="dxa"/>
            <w:tcBorders>
              <w:top w:val="single" w:sz="6" w:space="0" w:color="000000"/>
              <w:left w:val="single" w:sz="6" w:space="0" w:color="000000"/>
              <w:bottom w:val="single" w:sz="6" w:space="0" w:color="000000"/>
              <w:right w:val="single" w:sz="6" w:space="0" w:color="000000"/>
            </w:tcBorders>
          </w:tcPr>
          <w:p w14:paraId="7D6A4BCE" w14:textId="77777777" w:rsidR="00641185" w:rsidRDefault="00641185" w:rsidP="002640EB">
            <w:pPr>
              <w:pStyle w:val="ReportHeader0"/>
              <w:widowControl/>
              <w:rPr>
                <w:sz w:val="20"/>
                <w:szCs w:val="20"/>
              </w:rPr>
            </w:pPr>
            <w:r>
              <w:t>Aérosol, catégorie 1</w:t>
            </w:r>
          </w:p>
        </w:tc>
      </w:tr>
      <w:tr w:rsidR="00641185" w14:paraId="21EA503A"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61DE2EF8" w14:textId="77777777" w:rsidR="00641185" w:rsidRDefault="00641185" w:rsidP="002640EB">
            <w:pPr>
              <w:pStyle w:val="ReportHeader0"/>
              <w:widowControl/>
              <w:rPr>
                <w:sz w:val="20"/>
                <w:szCs w:val="20"/>
              </w:rPr>
            </w:pPr>
            <w:r>
              <w:rPr>
                <w:sz w:val="20"/>
                <w:szCs w:val="20"/>
              </w:rPr>
              <w:t>Gas Press</w:t>
            </w:r>
          </w:p>
        </w:tc>
        <w:tc>
          <w:tcPr>
            <w:tcW w:w="1701" w:type="dxa"/>
            <w:tcBorders>
              <w:top w:val="single" w:sz="6" w:space="0" w:color="000000"/>
              <w:left w:val="single" w:sz="6" w:space="0" w:color="000000"/>
              <w:bottom w:val="single" w:sz="6" w:space="0" w:color="000000"/>
              <w:right w:val="single" w:sz="6" w:space="0" w:color="000000"/>
            </w:tcBorders>
          </w:tcPr>
          <w:p w14:paraId="23BCD2D0" w14:textId="77777777" w:rsidR="00641185" w:rsidRDefault="00641185" w:rsidP="002640EB">
            <w:pPr>
              <w:pStyle w:val="ReportHeader0"/>
              <w:widowControl/>
              <w:rPr>
                <w:sz w:val="20"/>
                <w:szCs w:val="20"/>
              </w:rPr>
            </w:pPr>
            <w:r>
              <w:rPr>
                <w:sz w:val="20"/>
                <w:szCs w:val="20"/>
              </w:rPr>
              <w:t>2.5</w:t>
            </w:r>
          </w:p>
        </w:tc>
        <w:tc>
          <w:tcPr>
            <w:tcW w:w="4422" w:type="dxa"/>
            <w:tcBorders>
              <w:top w:val="single" w:sz="6" w:space="0" w:color="000000"/>
              <w:left w:val="single" w:sz="6" w:space="0" w:color="000000"/>
              <w:bottom w:val="single" w:sz="6" w:space="0" w:color="000000"/>
              <w:right w:val="single" w:sz="6" w:space="0" w:color="000000"/>
            </w:tcBorders>
          </w:tcPr>
          <w:p w14:paraId="1DF02C90" w14:textId="77777777" w:rsidR="00641185" w:rsidRDefault="00641185" w:rsidP="002640EB">
            <w:pPr>
              <w:pStyle w:val="ReportHeader0"/>
              <w:widowControl/>
              <w:rPr>
                <w:sz w:val="20"/>
                <w:szCs w:val="20"/>
              </w:rPr>
            </w:pPr>
            <w:r>
              <w:t>Gaz sous pression</w:t>
            </w:r>
          </w:p>
        </w:tc>
      </w:tr>
      <w:tr w:rsidR="00641185" w14:paraId="2C679404"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35149896" w14:textId="77777777" w:rsidR="00641185" w:rsidRDefault="00641185" w:rsidP="002640EB">
            <w:pPr>
              <w:pStyle w:val="ReportHeader0"/>
              <w:widowControl/>
              <w:rPr>
                <w:sz w:val="20"/>
                <w:szCs w:val="20"/>
              </w:rPr>
            </w:pPr>
            <w:r>
              <w:rPr>
                <w:sz w:val="20"/>
                <w:szCs w:val="20"/>
              </w:rPr>
              <w:t>Flam. Liq. 2</w:t>
            </w:r>
          </w:p>
        </w:tc>
        <w:tc>
          <w:tcPr>
            <w:tcW w:w="1701" w:type="dxa"/>
            <w:tcBorders>
              <w:top w:val="single" w:sz="6" w:space="0" w:color="000000"/>
              <w:left w:val="single" w:sz="6" w:space="0" w:color="000000"/>
              <w:bottom w:val="single" w:sz="6" w:space="0" w:color="000000"/>
              <w:right w:val="single" w:sz="6" w:space="0" w:color="000000"/>
            </w:tcBorders>
          </w:tcPr>
          <w:p w14:paraId="722E9253" w14:textId="77777777" w:rsidR="00641185" w:rsidRDefault="00641185" w:rsidP="002640EB">
            <w:pPr>
              <w:pStyle w:val="ReportHeader0"/>
              <w:widowControl/>
              <w:rPr>
                <w:sz w:val="20"/>
                <w:szCs w:val="20"/>
              </w:rPr>
            </w:pPr>
            <w:r>
              <w:rPr>
                <w:sz w:val="20"/>
                <w:szCs w:val="20"/>
              </w:rPr>
              <w:t>2.6/2</w:t>
            </w:r>
          </w:p>
        </w:tc>
        <w:tc>
          <w:tcPr>
            <w:tcW w:w="4422" w:type="dxa"/>
            <w:tcBorders>
              <w:top w:val="single" w:sz="6" w:space="0" w:color="000000"/>
              <w:left w:val="single" w:sz="6" w:space="0" w:color="000000"/>
              <w:bottom w:val="single" w:sz="6" w:space="0" w:color="000000"/>
              <w:right w:val="single" w:sz="6" w:space="0" w:color="000000"/>
            </w:tcBorders>
          </w:tcPr>
          <w:p w14:paraId="7FB06033" w14:textId="77777777" w:rsidR="00641185" w:rsidRDefault="00641185" w:rsidP="002640EB">
            <w:pPr>
              <w:pStyle w:val="ReportHeader0"/>
              <w:widowControl/>
              <w:rPr>
                <w:sz w:val="20"/>
                <w:szCs w:val="20"/>
              </w:rPr>
            </w:pPr>
            <w:r>
              <w:t>Liquide inflammable, catégorie 2</w:t>
            </w:r>
          </w:p>
        </w:tc>
      </w:tr>
      <w:tr w:rsidR="00641185" w14:paraId="4F96D7D8"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1CA6314D" w14:textId="77777777" w:rsidR="00641185" w:rsidRDefault="00641185" w:rsidP="002640EB">
            <w:pPr>
              <w:pStyle w:val="ReportHeader0"/>
              <w:widowControl/>
              <w:rPr>
                <w:sz w:val="20"/>
                <w:szCs w:val="20"/>
              </w:rPr>
            </w:pPr>
            <w:r>
              <w:rPr>
                <w:sz w:val="20"/>
                <w:szCs w:val="20"/>
              </w:rPr>
              <w:t>Eye Irrit. 2</w:t>
            </w:r>
          </w:p>
        </w:tc>
        <w:tc>
          <w:tcPr>
            <w:tcW w:w="1701" w:type="dxa"/>
            <w:tcBorders>
              <w:top w:val="single" w:sz="6" w:space="0" w:color="000000"/>
              <w:left w:val="single" w:sz="6" w:space="0" w:color="000000"/>
              <w:bottom w:val="single" w:sz="6" w:space="0" w:color="000000"/>
              <w:right w:val="single" w:sz="6" w:space="0" w:color="000000"/>
            </w:tcBorders>
          </w:tcPr>
          <w:p w14:paraId="2EBE1444" w14:textId="77777777" w:rsidR="00641185" w:rsidRDefault="00641185" w:rsidP="002640EB">
            <w:pPr>
              <w:pStyle w:val="ReportHeader0"/>
              <w:widowControl/>
              <w:rPr>
                <w:sz w:val="20"/>
                <w:szCs w:val="20"/>
              </w:rPr>
            </w:pPr>
            <w:r>
              <w:rPr>
                <w:sz w:val="20"/>
                <w:szCs w:val="20"/>
              </w:rPr>
              <w:t>3.3/2</w:t>
            </w:r>
          </w:p>
        </w:tc>
        <w:tc>
          <w:tcPr>
            <w:tcW w:w="4422" w:type="dxa"/>
            <w:tcBorders>
              <w:top w:val="single" w:sz="6" w:space="0" w:color="000000"/>
              <w:left w:val="single" w:sz="6" w:space="0" w:color="000000"/>
              <w:bottom w:val="single" w:sz="6" w:space="0" w:color="000000"/>
              <w:right w:val="single" w:sz="6" w:space="0" w:color="000000"/>
            </w:tcBorders>
          </w:tcPr>
          <w:p w14:paraId="4D1C3E82" w14:textId="77777777" w:rsidR="00641185" w:rsidRDefault="00641185" w:rsidP="002640EB">
            <w:pPr>
              <w:pStyle w:val="ReportHeader0"/>
              <w:widowControl/>
              <w:rPr>
                <w:sz w:val="20"/>
                <w:szCs w:val="20"/>
              </w:rPr>
            </w:pPr>
            <w:r>
              <w:t>Irritation oculaire, catégorie 2</w:t>
            </w:r>
          </w:p>
        </w:tc>
      </w:tr>
      <w:tr w:rsidR="00641185" w:rsidRPr="00872994" w14:paraId="323CD1C9" w14:textId="77777777" w:rsidTr="002640EB">
        <w:tc>
          <w:tcPr>
            <w:tcW w:w="2268" w:type="dxa"/>
            <w:tcBorders>
              <w:top w:val="single" w:sz="6" w:space="0" w:color="000000"/>
              <w:left w:val="single" w:sz="6" w:space="0" w:color="000000"/>
              <w:bottom w:val="single" w:sz="6" w:space="0" w:color="000000"/>
              <w:right w:val="single" w:sz="6" w:space="0" w:color="000000"/>
            </w:tcBorders>
          </w:tcPr>
          <w:p w14:paraId="68E35268" w14:textId="77777777" w:rsidR="00641185" w:rsidRDefault="00641185" w:rsidP="002640EB">
            <w:pPr>
              <w:pStyle w:val="ReportHeader0"/>
              <w:widowControl/>
              <w:rPr>
                <w:sz w:val="20"/>
                <w:szCs w:val="20"/>
              </w:rPr>
            </w:pPr>
            <w:r>
              <w:rPr>
                <w:sz w:val="20"/>
                <w:szCs w:val="20"/>
              </w:rPr>
              <w:t>STOT SE 3</w:t>
            </w:r>
          </w:p>
        </w:tc>
        <w:tc>
          <w:tcPr>
            <w:tcW w:w="1701" w:type="dxa"/>
            <w:tcBorders>
              <w:top w:val="single" w:sz="6" w:space="0" w:color="000000"/>
              <w:left w:val="single" w:sz="6" w:space="0" w:color="000000"/>
              <w:bottom w:val="single" w:sz="6" w:space="0" w:color="000000"/>
              <w:right w:val="single" w:sz="6" w:space="0" w:color="000000"/>
            </w:tcBorders>
          </w:tcPr>
          <w:p w14:paraId="73DD50EC" w14:textId="77777777" w:rsidR="00641185" w:rsidRDefault="00641185" w:rsidP="002640EB">
            <w:pPr>
              <w:pStyle w:val="ReportHeader0"/>
              <w:widowControl/>
              <w:rPr>
                <w:sz w:val="20"/>
                <w:szCs w:val="20"/>
              </w:rPr>
            </w:pPr>
            <w:r>
              <w:rPr>
                <w:sz w:val="20"/>
                <w:szCs w:val="20"/>
              </w:rPr>
              <w:t>3.8/3</w:t>
            </w:r>
          </w:p>
        </w:tc>
        <w:tc>
          <w:tcPr>
            <w:tcW w:w="4422" w:type="dxa"/>
            <w:tcBorders>
              <w:top w:val="single" w:sz="6" w:space="0" w:color="000000"/>
              <w:left w:val="single" w:sz="6" w:space="0" w:color="000000"/>
              <w:bottom w:val="single" w:sz="6" w:space="0" w:color="000000"/>
              <w:right w:val="single" w:sz="6" w:space="0" w:color="000000"/>
            </w:tcBorders>
          </w:tcPr>
          <w:p w14:paraId="0C765237" w14:textId="77777777" w:rsidR="00641185" w:rsidRPr="002C4D2B" w:rsidRDefault="00641185" w:rsidP="002640EB">
            <w:pPr>
              <w:pStyle w:val="ReportHeader0"/>
              <w:widowControl/>
              <w:rPr>
                <w:sz w:val="20"/>
                <w:szCs w:val="20"/>
                <w:lang w:val="en-US"/>
              </w:rPr>
            </w:pPr>
            <w:r>
              <w:t>Toxicité spécifique pour certains organes cibles - exposition unique, catégorie 3</w:t>
            </w:r>
          </w:p>
        </w:tc>
      </w:tr>
    </w:tbl>
    <w:p w14:paraId="6248E2A3" w14:textId="77777777" w:rsidR="00641185" w:rsidRPr="002C4D2B" w:rsidRDefault="00641185" w:rsidP="00641185">
      <w:pPr>
        <w:pStyle w:val="SDSText0"/>
        <w:widowControl/>
        <w:ind w:left="566"/>
        <w:rPr>
          <w:lang w:val="en-US"/>
        </w:rPr>
      </w:pPr>
    </w:p>
    <w:p w14:paraId="212B6028" w14:textId="77777777" w:rsidR="00641185" w:rsidRPr="002C4D2B" w:rsidRDefault="00641185" w:rsidP="00641185">
      <w:pPr>
        <w:pStyle w:val="SDSText0"/>
        <w:widowControl/>
        <w:ind w:left="566"/>
        <w:rPr>
          <w:lang w:val="en-US"/>
        </w:rPr>
      </w:pPr>
      <w:r>
        <w:t>Cette fiche a été révisée dans toutes ses sections conformément au règlement 2020/878.</w:t>
      </w:r>
    </w:p>
    <w:p w14:paraId="1814A950" w14:textId="77777777" w:rsidR="00641185" w:rsidRPr="002C4D2B" w:rsidRDefault="00641185" w:rsidP="00641185">
      <w:pPr>
        <w:pStyle w:val="SDSText0"/>
        <w:widowControl/>
        <w:ind w:left="566"/>
        <w:rPr>
          <w:lang w:val="en-US"/>
        </w:rPr>
      </w:pPr>
      <w:r>
        <w:t>Classification et procédure utilisées pour la déterminer conformément au règlement (CE) 1272/2008 [CLP] pour les mélanges :</w:t>
      </w:r>
    </w:p>
    <w:p w14:paraId="6BB0202D" w14:textId="77777777" w:rsidR="00641185" w:rsidRPr="002C4D2B" w:rsidRDefault="00641185" w:rsidP="00641185">
      <w:pPr>
        <w:pStyle w:val="SDSText0"/>
        <w:widowControl/>
        <w:ind w:left="566"/>
        <w:rPr>
          <w:lang w:val="en-US"/>
        </w:rPr>
      </w:pPr>
    </w:p>
    <w:tbl>
      <w:tblPr>
        <w:tblW w:w="0" w:type="auto"/>
        <w:tblInd w:w="566" w:type="dxa"/>
        <w:tblBorders>
          <w:top w:val="single" w:sz="14" w:space="0" w:color="000000"/>
          <w:left w:val="single" w:sz="14" w:space="0" w:color="000000"/>
          <w:bottom w:val="single" w:sz="14" w:space="0" w:color="000000"/>
          <w:right w:val="single" w:sz="14" w:space="0" w:color="000000"/>
        </w:tblBorders>
        <w:tblLayout w:type="fixed"/>
        <w:tblCellMar>
          <w:left w:w="68" w:type="dxa"/>
          <w:right w:w="68" w:type="dxa"/>
        </w:tblCellMar>
        <w:tblLook w:val="0000" w:firstRow="0" w:lastRow="0" w:firstColumn="0" w:lastColumn="0" w:noHBand="0" w:noVBand="0"/>
      </w:tblPr>
      <w:tblGrid>
        <w:gridCol w:w="4989"/>
        <w:gridCol w:w="3402"/>
      </w:tblGrid>
      <w:tr w:rsidR="00641185" w14:paraId="0E83F417" w14:textId="77777777" w:rsidTr="002640EB">
        <w:tc>
          <w:tcPr>
            <w:tcW w:w="4989" w:type="dxa"/>
            <w:tcBorders>
              <w:top w:val="single" w:sz="6" w:space="0" w:color="000000"/>
              <w:left w:val="single" w:sz="6" w:space="0" w:color="000000"/>
              <w:bottom w:val="single" w:sz="6" w:space="0" w:color="000000"/>
              <w:right w:val="single" w:sz="6" w:space="0" w:color="000000"/>
            </w:tcBorders>
          </w:tcPr>
          <w:p w14:paraId="5ECF4E70" w14:textId="77777777" w:rsidR="00641185" w:rsidRPr="002C4D2B" w:rsidRDefault="00641185" w:rsidP="002640EB">
            <w:pPr>
              <w:pStyle w:val="ReportHeader0"/>
              <w:widowControl/>
              <w:rPr>
                <w:sz w:val="20"/>
                <w:szCs w:val="20"/>
                <w:lang w:val="en-US"/>
              </w:rPr>
            </w:pPr>
            <w:r>
              <w:t>Classification conformément au règlement (CE) n° 1272/2008</w:t>
            </w:r>
          </w:p>
        </w:tc>
        <w:tc>
          <w:tcPr>
            <w:tcW w:w="3402" w:type="dxa"/>
            <w:tcBorders>
              <w:top w:val="single" w:sz="6" w:space="0" w:color="000000"/>
              <w:left w:val="single" w:sz="6" w:space="0" w:color="000000"/>
              <w:bottom w:val="single" w:sz="6" w:space="0" w:color="000000"/>
              <w:right w:val="single" w:sz="6" w:space="0" w:color="000000"/>
            </w:tcBorders>
          </w:tcPr>
          <w:p w14:paraId="520114B3" w14:textId="77777777" w:rsidR="00641185" w:rsidRDefault="00641185" w:rsidP="002640EB">
            <w:pPr>
              <w:pStyle w:val="ReportHeader0"/>
              <w:widowControl/>
              <w:rPr>
                <w:sz w:val="20"/>
                <w:szCs w:val="20"/>
              </w:rPr>
            </w:pPr>
            <w:r>
              <w:t>Procédure de classification</w:t>
            </w:r>
          </w:p>
        </w:tc>
      </w:tr>
      <w:tr w:rsidR="00641185" w14:paraId="2FB9D8A8" w14:textId="77777777" w:rsidTr="002640EB">
        <w:tc>
          <w:tcPr>
            <w:tcW w:w="4989" w:type="dxa"/>
            <w:tcBorders>
              <w:top w:val="single" w:sz="6" w:space="0" w:color="000000"/>
              <w:left w:val="single" w:sz="6" w:space="0" w:color="000000"/>
              <w:bottom w:val="single" w:sz="6" w:space="0" w:color="000000"/>
              <w:right w:val="single" w:sz="6" w:space="0" w:color="000000"/>
            </w:tcBorders>
          </w:tcPr>
          <w:p w14:paraId="7737E0C2" w14:textId="77777777" w:rsidR="00641185" w:rsidRDefault="00641185" w:rsidP="002640EB">
            <w:pPr>
              <w:pStyle w:val="ReportHeader0"/>
              <w:widowControl/>
              <w:rPr>
                <w:sz w:val="20"/>
                <w:szCs w:val="20"/>
              </w:rPr>
            </w:pPr>
            <w:r>
              <w:rPr>
                <w:sz w:val="20"/>
                <w:szCs w:val="20"/>
              </w:rPr>
              <w:t>Aerosols 1, H222, H229</w:t>
            </w:r>
          </w:p>
        </w:tc>
        <w:tc>
          <w:tcPr>
            <w:tcW w:w="3402" w:type="dxa"/>
            <w:tcBorders>
              <w:top w:val="single" w:sz="6" w:space="0" w:color="000000"/>
              <w:left w:val="single" w:sz="6" w:space="0" w:color="000000"/>
              <w:bottom w:val="single" w:sz="6" w:space="0" w:color="000000"/>
              <w:right w:val="single" w:sz="6" w:space="0" w:color="000000"/>
            </w:tcBorders>
          </w:tcPr>
          <w:p w14:paraId="35B65A7A" w14:textId="77777777" w:rsidR="00641185" w:rsidRDefault="00641185" w:rsidP="002640EB">
            <w:pPr>
              <w:pStyle w:val="ReportHeader0"/>
              <w:widowControl/>
              <w:rPr>
                <w:sz w:val="20"/>
                <w:szCs w:val="20"/>
              </w:rPr>
            </w:pPr>
            <w:r>
              <w:t>Sur la base de preuves expérimentales</w:t>
            </w:r>
          </w:p>
        </w:tc>
      </w:tr>
      <w:tr w:rsidR="00641185" w14:paraId="023C3492" w14:textId="77777777" w:rsidTr="002640EB">
        <w:tc>
          <w:tcPr>
            <w:tcW w:w="4989" w:type="dxa"/>
            <w:tcBorders>
              <w:top w:val="single" w:sz="6" w:space="0" w:color="000000"/>
              <w:left w:val="single" w:sz="6" w:space="0" w:color="000000"/>
              <w:bottom w:val="single" w:sz="6" w:space="0" w:color="000000"/>
              <w:right w:val="single" w:sz="6" w:space="0" w:color="000000"/>
            </w:tcBorders>
          </w:tcPr>
          <w:p w14:paraId="07B972D0" w14:textId="77777777" w:rsidR="00641185" w:rsidRDefault="00641185" w:rsidP="002640EB">
            <w:pPr>
              <w:pStyle w:val="ReportHeader0"/>
              <w:widowControl/>
              <w:rPr>
                <w:sz w:val="20"/>
                <w:szCs w:val="20"/>
              </w:rPr>
            </w:pPr>
            <w:r>
              <w:rPr>
                <w:sz w:val="20"/>
                <w:szCs w:val="20"/>
              </w:rPr>
              <w:t>Eye Irrit. 2, H319</w:t>
            </w:r>
          </w:p>
        </w:tc>
        <w:tc>
          <w:tcPr>
            <w:tcW w:w="3402" w:type="dxa"/>
            <w:tcBorders>
              <w:top w:val="single" w:sz="6" w:space="0" w:color="000000"/>
              <w:left w:val="single" w:sz="6" w:space="0" w:color="000000"/>
              <w:bottom w:val="single" w:sz="6" w:space="0" w:color="000000"/>
              <w:right w:val="single" w:sz="6" w:space="0" w:color="000000"/>
            </w:tcBorders>
          </w:tcPr>
          <w:p w14:paraId="70763781" w14:textId="77777777" w:rsidR="00641185" w:rsidRDefault="00641185" w:rsidP="002640EB">
            <w:pPr>
              <w:pStyle w:val="ReportHeader0"/>
              <w:widowControl/>
              <w:rPr>
                <w:sz w:val="20"/>
                <w:szCs w:val="20"/>
              </w:rPr>
            </w:pPr>
            <w:r>
              <w:t>Méthode de calcul</w:t>
            </w:r>
          </w:p>
        </w:tc>
      </w:tr>
      <w:tr w:rsidR="00641185" w14:paraId="0F843086" w14:textId="77777777" w:rsidTr="002640EB">
        <w:tc>
          <w:tcPr>
            <w:tcW w:w="4989" w:type="dxa"/>
            <w:tcBorders>
              <w:top w:val="single" w:sz="6" w:space="0" w:color="000000"/>
              <w:left w:val="single" w:sz="6" w:space="0" w:color="000000"/>
              <w:bottom w:val="single" w:sz="6" w:space="0" w:color="000000"/>
              <w:right w:val="single" w:sz="6" w:space="0" w:color="000000"/>
            </w:tcBorders>
          </w:tcPr>
          <w:p w14:paraId="5AB97D4F" w14:textId="77777777" w:rsidR="00641185" w:rsidRDefault="00641185" w:rsidP="002640EB">
            <w:pPr>
              <w:pStyle w:val="ReportHeader0"/>
              <w:widowControl/>
              <w:rPr>
                <w:sz w:val="20"/>
                <w:szCs w:val="20"/>
              </w:rPr>
            </w:pPr>
            <w:r>
              <w:rPr>
                <w:sz w:val="20"/>
                <w:szCs w:val="20"/>
              </w:rPr>
              <w:t>STOT SE 3, H336</w:t>
            </w:r>
          </w:p>
        </w:tc>
        <w:tc>
          <w:tcPr>
            <w:tcW w:w="3402" w:type="dxa"/>
            <w:tcBorders>
              <w:top w:val="single" w:sz="6" w:space="0" w:color="000000"/>
              <w:left w:val="single" w:sz="6" w:space="0" w:color="000000"/>
              <w:bottom w:val="single" w:sz="6" w:space="0" w:color="000000"/>
              <w:right w:val="single" w:sz="6" w:space="0" w:color="000000"/>
            </w:tcBorders>
          </w:tcPr>
          <w:p w14:paraId="1909295A" w14:textId="77777777" w:rsidR="00641185" w:rsidRDefault="00641185" w:rsidP="002640EB">
            <w:pPr>
              <w:pStyle w:val="ReportHeader0"/>
              <w:widowControl/>
              <w:rPr>
                <w:sz w:val="20"/>
                <w:szCs w:val="20"/>
              </w:rPr>
            </w:pPr>
            <w:r>
              <w:t>Méthode de calcul</w:t>
            </w:r>
          </w:p>
        </w:tc>
      </w:tr>
    </w:tbl>
    <w:p w14:paraId="5D463B73" w14:textId="77777777" w:rsidR="00641185" w:rsidRDefault="00641185" w:rsidP="00641185">
      <w:pPr>
        <w:pStyle w:val="SDSText0"/>
        <w:widowControl/>
        <w:ind w:left="566"/>
      </w:pPr>
    </w:p>
    <w:p w14:paraId="6A63A283" w14:textId="77777777" w:rsidR="00641185" w:rsidRPr="002C4D2B" w:rsidRDefault="00641185" w:rsidP="00641185">
      <w:pPr>
        <w:pStyle w:val="SDSText0"/>
        <w:widowControl/>
        <w:ind w:left="566"/>
        <w:rPr>
          <w:lang w:val="en-US"/>
        </w:rPr>
      </w:pPr>
      <w:r>
        <w:t>Ce document a été préparé par un technicien compétent en FDS ayant reçu une formation appropriée.</w:t>
      </w:r>
    </w:p>
    <w:p w14:paraId="0B5E5F79" w14:textId="77777777" w:rsidR="00641185" w:rsidRPr="002C4D2B" w:rsidRDefault="00641185" w:rsidP="00641185">
      <w:pPr>
        <w:pStyle w:val="SDSText0"/>
        <w:widowControl/>
        <w:ind w:left="566"/>
        <w:rPr>
          <w:lang w:val="en-US"/>
        </w:rPr>
      </w:pPr>
      <w:r>
        <w:t>Principales sources bibliographiques :</w:t>
      </w:r>
    </w:p>
    <w:p w14:paraId="3E815D4E" w14:textId="77777777" w:rsidR="00641185" w:rsidRPr="002C4D2B" w:rsidRDefault="00641185" w:rsidP="00641185">
      <w:pPr>
        <w:pStyle w:val="SDSText0"/>
        <w:widowControl/>
        <w:ind w:left="1133"/>
        <w:rPr>
          <w:lang w:val="en-US"/>
        </w:rPr>
      </w:pPr>
      <w:r>
        <w:t>ECDIN - Environmental Chemicals Data and Information Network - Centre commun de recherche, Commission des Communautés européennes</w:t>
      </w:r>
    </w:p>
    <w:p w14:paraId="03E54398" w14:textId="77777777" w:rsidR="00641185" w:rsidRPr="002C4D2B" w:rsidRDefault="00641185" w:rsidP="00641185">
      <w:pPr>
        <w:pStyle w:val="SDSText0"/>
        <w:widowControl/>
        <w:ind w:left="1133"/>
        <w:rPr>
          <w:lang w:val="en-US"/>
        </w:rPr>
      </w:pPr>
      <w:r>
        <w:t>SAX’s DANGEROUS PROPERTIES OF INDUSTRIAL MATERIALS - Huitième édition - Van Nostrand Reinold</w:t>
      </w:r>
    </w:p>
    <w:p w14:paraId="0D5ED1EC" w14:textId="77777777" w:rsidR="00641185" w:rsidRPr="002C4D2B" w:rsidRDefault="00641185" w:rsidP="00641185">
      <w:pPr>
        <w:pStyle w:val="SDSText0"/>
        <w:widowControl/>
        <w:ind w:left="1133"/>
        <w:rPr>
          <w:lang w:val="en-US"/>
        </w:rPr>
      </w:pPr>
      <w:r>
        <w:t>CCNL - Annexe 1</w:t>
      </w:r>
    </w:p>
    <w:p w14:paraId="09A80AF4" w14:textId="77777777" w:rsidR="00641185" w:rsidRPr="002C4D2B" w:rsidRDefault="00641185" w:rsidP="00641185">
      <w:pPr>
        <w:pStyle w:val="SDSText0"/>
        <w:widowControl/>
        <w:ind w:left="1133"/>
        <w:rPr>
          <w:lang w:val="en-US"/>
        </w:rPr>
      </w:pPr>
      <w:r>
        <w:t>Institut national de la santé - Inventaire national des substances chimiques</w:t>
      </w:r>
    </w:p>
    <w:p w14:paraId="0EB8D94F" w14:textId="77777777" w:rsidR="00641185" w:rsidRPr="002C4D2B" w:rsidRDefault="00641185" w:rsidP="00641185">
      <w:pPr>
        <w:pStyle w:val="SDSText0"/>
        <w:widowControl/>
        <w:ind w:left="566"/>
        <w:rPr>
          <w:lang w:val="en-US"/>
        </w:rPr>
      </w:pPr>
      <w:r>
        <w:t>Les informations contenues dans cette fiche sont fondées sur nos connaissances actuelles à la date indiquée. Elles se réfèrent exclusivement au produit indiqué et ne constituent pas une garantie de qualités spécifiques.</w:t>
      </w:r>
    </w:p>
    <w:p w14:paraId="647554AF" w14:textId="77777777" w:rsidR="00641185" w:rsidRPr="002C4D2B" w:rsidRDefault="00641185" w:rsidP="00641185">
      <w:pPr>
        <w:pStyle w:val="SDSText0"/>
        <w:widowControl/>
        <w:ind w:left="566"/>
        <w:rPr>
          <w:lang w:val="en-US"/>
        </w:rPr>
      </w:pPr>
      <w:r>
        <w:t>Il incombe à l’utilisateur de s’assurer de l’adéquation et de l’exhaustivité de ces informations par rapport à l’utilisation spécifique à laquelle le produit est destiné.</w:t>
      </w:r>
    </w:p>
    <w:p w14:paraId="043EA521" w14:textId="77777777" w:rsidR="00641185" w:rsidRPr="002C4D2B" w:rsidRDefault="00641185" w:rsidP="00641185">
      <w:pPr>
        <w:pStyle w:val="SDSText0"/>
        <w:widowControl/>
        <w:ind w:left="566"/>
        <w:rPr>
          <w:lang w:val="en-US"/>
        </w:rPr>
      </w:pPr>
      <w:r>
        <w:t>Cette fiche annule et remplace toute édition précédente.</w:t>
      </w:r>
    </w:p>
    <w:p w14:paraId="72519783" w14:textId="77777777" w:rsidR="00641185" w:rsidRPr="002C4D2B" w:rsidRDefault="00641185" w:rsidP="00641185">
      <w:pPr>
        <w:pStyle w:val="SDSText0"/>
        <w:widowControl/>
        <w:ind w:left="566"/>
        <w:rPr>
          <w:lang w:val="en-US"/>
        </w:rPr>
      </w:pPr>
    </w:p>
    <w:tbl>
      <w:tblPr>
        <w:tblW w:w="0" w:type="auto"/>
        <w:tblInd w:w="566" w:type="dxa"/>
        <w:tblLayout w:type="fixed"/>
        <w:tblCellMar>
          <w:left w:w="68" w:type="dxa"/>
          <w:right w:w="68" w:type="dxa"/>
        </w:tblCellMar>
        <w:tblLook w:val="0000" w:firstRow="0" w:lastRow="0" w:firstColumn="0" w:lastColumn="0" w:noHBand="0" w:noVBand="0"/>
      </w:tblPr>
      <w:tblGrid>
        <w:gridCol w:w="1418"/>
        <w:gridCol w:w="6519"/>
      </w:tblGrid>
      <w:tr w:rsidR="00641185" w:rsidRPr="00872994" w14:paraId="159386C4" w14:textId="77777777" w:rsidTr="002640EB">
        <w:tc>
          <w:tcPr>
            <w:tcW w:w="1418" w:type="dxa"/>
            <w:tcBorders>
              <w:top w:val="nil"/>
              <w:left w:val="nil"/>
              <w:bottom w:val="nil"/>
              <w:right w:val="nil"/>
            </w:tcBorders>
          </w:tcPr>
          <w:p w14:paraId="3F2E6318" w14:textId="77777777" w:rsidR="00641185" w:rsidRDefault="00641185" w:rsidP="002640EB">
            <w:pPr>
              <w:pStyle w:val="ReportHeader0"/>
              <w:widowControl/>
              <w:rPr>
                <w:sz w:val="20"/>
                <w:szCs w:val="20"/>
              </w:rPr>
            </w:pPr>
            <w:r>
              <w:rPr>
                <w:sz w:val="20"/>
                <w:szCs w:val="20"/>
              </w:rPr>
              <w:t>ADR:</w:t>
            </w:r>
          </w:p>
        </w:tc>
        <w:tc>
          <w:tcPr>
            <w:tcW w:w="6519" w:type="dxa"/>
            <w:tcBorders>
              <w:top w:val="nil"/>
              <w:left w:val="nil"/>
              <w:bottom w:val="nil"/>
              <w:right w:val="nil"/>
            </w:tcBorders>
          </w:tcPr>
          <w:p w14:paraId="719C55C6" w14:textId="77777777" w:rsidR="00641185" w:rsidRPr="002C4D2B" w:rsidRDefault="00641185" w:rsidP="002640EB">
            <w:pPr>
              <w:pStyle w:val="ReportHeader0"/>
              <w:widowControl/>
              <w:rPr>
                <w:sz w:val="20"/>
                <w:szCs w:val="20"/>
                <w:lang w:val="en-US"/>
              </w:rPr>
            </w:pPr>
            <w:r>
              <w:t>Accord européen relatif au transport international des marchandises dangereuses par route.</w:t>
            </w:r>
          </w:p>
        </w:tc>
      </w:tr>
      <w:tr w:rsidR="00641185" w:rsidRPr="00872994" w14:paraId="378DBFD0" w14:textId="77777777" w:rsidTr="002640EB">
        <w:tc>
          <w:tcPr>
            <w:tcW w:w="1418" w:type="dxa"/>
            <w:tcBorders>
              <w:top w:val="nil"/>
              <w:left w:val="nil"/>
              <w:bottom w:val="nil"/>
              <w:right w:val="nil"/>
            </w:tcBorders>
          </w:tcPr>
          <w:p w14:paraId="57A5CE2A" w14:textId="77777777" w:rsidR="00641185" w:rsidRDefault="00641185" w:rsidP="002640EB">
            <w:pPr>
              <w:pStyle w:val="ReportHeader0"/>
              <w:widowControl/>
              <w:rPr>
                <w:sz w:val="20"/>
                <w:szCs w:val="20"/>
              </w:rPr>
            </w:pPr>
            <w:r>
              <w:rPr>
                <w:sz w:val="20"/>
                <w:szCs w:val="20"/>
              </w:rPr>
              <w:t>CAS:</w:t>
            </w:r>
          </w:p>
        </w:tc>
        <w:tc>
          <w:tcPr>
            <w:tcW w:w="6519" w:type="dxa"/>
            <w:tcBorders>
              <w:top w:val="nil"/>
              <w:left w:val="nil"/>
              <w:bottom w:val="nil"/>
              <w:right w:val="nil"/>
            </w:tcBorders>
          </w:tcPr>
          <w:p w14:paraId="0EE30D9C" w14:textId="77777777" w:rsidR="00641185" w:rsidRPr="002C4D2B" w:rsidRDefault="00641185" w:rsidP="002640EB">
            <w:pPr>
              <w:pStyle w:val="ReportHeader0"/>
              <w:widowControl/>
              <w:rPr>
                <w:sz w:val="20"/>
                <w:szCs w:val="20"/>
                <w:lang w:val="en-US"/>
              </w:rPr>
            </w:pPr>
            <w:r>
              <w:t>Chemical Abstract Service (division de l’American Chemical Society).</w:t>
            </w:r>
          </w:p>
        </w:tc>
      </w:tr>
      <w:tr w:rsidR="00641185" w14:paraId="477A2940" w14:textId="77777777" w:rsidTr="002640EB">
        <w:tc>
          <w:tcPr>
            <w:tcW w:w="1418" w:type="dxa"/>
            <w:tcBorders>
              <w:top w:val="nil"/>
              <w:left w:val="nil"/>
              <w:bottom w:val="nil"/>
              <w:right w:val="nil"/>
            </w:tcBorders>
          </w:tcPr>
          <w:p w14:paraId="5404537F" w14:textId="77777777" w:rsidR="00641185" w:rsidRDefault="00641185" w:rsidP="002640EB">
            <w:pPr>
              <w:pStyle w:val="ReportHeader0"/>
              <w:widowControl/>
              <w:rPr>
                <w:sz w:val="20"/>
                <w:szCs w:val="20"/>
              </w:rPr>
            </w:pPr>
            <w:r>
              <w:rPr>
                <w:sz w:val="20"/>
                <w:szCs w:val="20"/>
              </w:rPr>
              <w:t>CLP:</w:t>
            </w:r>
          </w:p>
        </w:tc>
        <w:tc>
          <w:tcPr>
            <w:tcW w:w="6519" w:type="dxa"/>
            <w:tcBorders>
              <w:top w:val="nil"/>
              <w:left w:val="nil"/>
              <w:bottom w:val="nil"/>
              <w:right w:val="nil"/>
            </w:tcBorders>
          </w:tcPr>
          <w:p w14:paraId="45040D2C" w14:textId="77777777" w:rsidR="00641185" w:rsidRDefault="00641185" w:rsidP="002640EB">
            <w:pPr>
              <w:pStyle w:val="ReportHeader0"/>
              <w:widowControl/>
              <w:rPr>
                <w:sz w:val="20"/>
                <w:szCs w:val="20"/>
              </w:rPr>
            </w:pPr>
            <w:r>
              <w:t>Classification, étiquetage, emballage.</w:t>
            </w:r>
          </w:p>
        </w:tc>
      </w:tr>
      <w:tr w:rsidR="00641185" w14:paraId="17AB5577" w14:textId="77777777" w:rsidTr="002640EB">
        <w:tc>
          <w:tcPr>
            <w:tcW w:w="1418" w:type="dxa"/>
            <w:tcBorders>
              <w:top w:val="nil"/>
              <w:left w:val="nil"/>
              <w:bottom w:val="nil"/>
              <w:right w:val="nil"/>
            </w:tcBorders>
          </w:tcPr>
          <w:p w14:paraId="348D550B" w14:textId="77777777" w:rsidR="00641185" w:rsidRDefault="00641185" w:rsidP="002640EB">
            <w:pPr>
              <w:pStyle w:val="ReportHeader0"/>
              <w:widowControl/>
              <w:rPr>
                <w:sz w:val="20"/>
                <w:szCs w:val="20"/>
              </w:rPr>
            </w:pPr>
            <w:r>
              <w:rPr>
                <w:sz w:val="20"/>
                <w:szCs w:val="20"/>
              </w:rPr>
              <w:t>DNEL:</w:t>
            </w:r>
          </w:p>
        </w:tc>
        <w:tc>
          <w:tcPr>
            <w:tcW w:w="6519" w:type="dxa"/>
            <w:tcBorders>
              <w:top w:val="nil"/>
              <w:left w:val="nil"/>
              <w:bottom w:val="nil"/>
              <w:right w:val="nil"/>
            </w:tcBorders>
          </w:tcPr>
          <w:p w14:paraId="2D0443D7" w14:textId="77777777" w:rsidR="00641185" w:rsidRDefault="00641185" w:rsidP="002640EB">
            <w:pPr>
              <w:pStyle w:val="ReportHeader0"/>
              <w:widowControl/>
              <w:rPr>
                <w:sz w:val="20"/>
                <w:szCs w:val="20"/>
              </w:rPr>
            </w:pPr>
            <w:r>
              <w:t>Dose dérivée sans effet.</w:t>
            </w:r>
          </w:p>
        </w:tc>
      </w:tr>
      <w:tr w:rsidR="00641185" w:rsidRPr="00872994" w14:paraId="3477E39C" w14:textId="77777777" w:rsidTr="002640EB">
        <w:tc>
          <w:tcPr>
            <w:tcW w:w="1418" w:type="dxa"/>
            <w:tcBorders>
              <w:top w:val="nil"/>
              <w:left w:val="nil"/>
              <w:bottom w:val="nil"/>
              <w:right w:val="nil"/>
            </w:tcBorders>
          </w:tcPr>
          <w:p w14:paraId="22FA7F36" w14:textId="77777777" w:rsidR="00641185" w:rsidRDefault="00641185" w:rsidP="002640EB">
            <w:pPr>
              <w:pStyle w:val="ReportHeader0"/>
              <w:widowControl/>
              <w:rPr>
                <w:sz w:val="20"/>
                <w:szCs w:val="20"/>
              </w:rPr>
            </w:pPr>
            <w:r>
              <w:rPr>
                <w:sz w:val="20"/>
                <w:szCs w:val="20"/>
              </w:rPr>
              <w:t>EINECS:</w:t>
            </w:r>
          </w:p>
        </w:tc>
        <w:tc>
          <w:tcPr>
            <w:tcW w:w="6519" w:type="dxa"/>
            <w:tcBorders>
              <w:top w:val="nil"/>
              <w:left w:val="nil"/>
              <w:bottom w:val="nil"/>
              <w:right w:val="nil"/>
            </w:tcBorders>
          </w:tcPr>
          <w:p w14:paraId="7EEF114E" w14:textId="77777777" w:rsidR="00641185" w:rsidRPr="002C4D2B" w:rsidRDefault="00641185" w:rsidP="002640EB">
            <w:pPr>
              <w:pStyle w:val="ReportHeader0"/>
              <w:widowControl/>
              <w:rPr>
                <w:sz w:val="20"/>
                <w:szCs w:val="20"/>
                <w:lang w:val="en-US"/>
              </w:rPr>
            </w:pPr>
            <w:r>
              <w:t>Inventaire européen des substances chimiques commerciales existantes.</w:t>
            </w:r>
          </w:p>
        </w:tc>
      </w:tr>
      <w:tr w:rsidR="00641185" w:rsidRPr="00872994" w14:paraId="1D7BBFDF" w14:textId="77777777" w:rsidTr="002640EB">
        <w:tc>
          <w:tcPr>
            <w:tcW w:w="1418" w:type="dxa"/>
            <w:tcBorders>
              <w:top w:val="nil"/>
              <w:left w:val="nil"/>
              <w:bottom w:val="nil"/>
              <w:right w:val="nil"/>
            </w:tcBorders>
          </w:tcPr>
          <w:p w14:paraId="76639E54" w14:textId="77777777" w:rsidR="00641185" w:rsidRDefault="00641185" w:rsidP="002640EB">
            <w:pPr>
              <w:pStyle w:val="ReportHeader0"/>
              <w:widowControl/>
              <w:rPr>
                <w:sz w:val="20"/>
                <w:szCs w:val="20"/>
              </w:rPr>
            </w:pPr>
            <w:r>
              <w:rPr>
                <w:sz w:val="20"/>
                <w:szCs w:val="20"/>
              </w:rPr>
              <w:t>GefStoffVO:</w:t>
            </w:r>
          </w:p>
        </w:tc>
        <w:tc>
          <w:tcPr>
            <w:tcW w:w="6519" w:type="dxa"/>
            <w:tcBorders>
              <w:top w:val="nil"/>
              <w:left w:val="nil"/>
              <w:bottom w:val="nil"/>
              <w:right w:val="nil"/>
            </w:tcBorders>
          </w:tcPr>
          <w:p w14:paraId="66BDE15E" w14:textId="77777777" w:rsidR="00641185" w:rsidRPr="002C4D2B" w:rsidRDefault="00641185" w:rsidP="002640EB">
            <w:pPr>
              <w:pStyle w:val="ReportHeader0"/>
              <w:widowControl/>
              <w:rPr>
                <w:sz w:val="20"/>
                <w:szCs w:val="20"/>
                <w:lang w:val="en-US"/>
              </w:rPr>
            </w:pPr>
            <w:r>
              <w:t>Ordonnance sur les substances dangereuses, Allemagne.</w:t>
            </w:r>
          </w:p>
        </w:tc>
      </w:tr>
      <w:tr w:rsidR="00641185" w:rsidRPr="00872994" w14:paraId="386337A4" w14:textId="77777777" w:rsidTr="002640EB">
        <w:tc>
          <w:tcPr>
            <w:tcW w:w="1418" w:type="dxa"/>
            <w:tcBorders>
              <w:top w:val="nil"/>
              <w:left w:val="nil"/>
              <w:bottom w:val="nil"/>
              <w:right w:val="nil"/>
            </w:tcBorders>
          </w:tcPr>
          <w:p w14:paraId="2F7C96FE" w14:textId="77777777" w:rsidR="00641185" w:rsidRDefault="00641185" w:rsidP="002640EB">
            <w:pPr>
              <w:pStyle w:val="ReportHeader0"/>
              <w:widowControl/>
              <w:rPr>
                <w:sz w:val="20"/>
                <w:szCs w:val="20"/>
              </w:rPr>
            </w:pPr>
            <w:r>
              <w:rPr>
                <w:sz w:val="20"/>
                <w:szCs w:val="20"/>
              </w:rPr>
              <w:t>GHS:</w:t>
            </w:r>
          </w:p>
        </w:tc>
        <w:tc>
          <w:tcPr>
            <w:tcW w:w="6519" w:type="dxa"/>
            <w:tcBorders>
              <w:top w:val="nil"/>
              <w:left w:val="nil"/>
              <w:bottom w:val="nil"/>
              <w:right w:val="nil"/>
            </w:tcBorders>
          </w:tcPr>
          <w:p w14:paraId="59B964F7" w14:textId="77777777" w:rsidR="00641185" w:rsidRPr="002C4D2B" w:rsidRDefault="00641185" w:rsidP="002640EB">
            <w:pPr>
              <w:pStyle w:val="ReportHeader0"/>
              <w:widowControl/>
              <w:rPr>
                <w:sz w:val="20"/>
                <w:szCs w:val="20"/>
                <w:lang w:val="en-US"/>
              </w:rPr>
            </w:pPr>
            <w:r>
              <w:t>Système général harmonisé de classification et d’étiquetage des produits chimiques.</w:t>
            </w:r>
          </w:p>
        </w:tc>
      </w:tr>
      <w:tr w:rsidR="00641185" w14:paraId="2D52A3E1" w14:textId="77777777" w:rsidTr="002640EB">
        <w:tc>
          <w:tcPr>
            <w:tcW w:w="1418" w:type="dxa"/>
            <w:tcBorders>
              <w:top w:val="nil"/>
              <w:left w:val="nil"/>
              <w:bottom w:val="nil"/>
              <w:right w:val="nil"/>
            </w:tcBorders>
          </w:tcPr>
          <w:p w14:paraId="515A553C" w14:textId="77777777" w:rsidR="00641185" w:rsidRDefault="00641185" w:rsidP="002640EB">
            <w:pPr>
              <w:pStyle w:val="ReportHeader0"/>
              <w:widowControl/>
              <w:rPr>
                <w:sz w:val="20"/>
                <w:szCs w:val="20"/>
              </w:rPr>
            </w:pPr>
            <w:r>
              <w:rPr>
                <w:sz w:val="20"/>
                <w:szCs w:val="20"/>
              </w:rPr>
              <w:t>IATA:</w:t>
            </w:r>
          </w:p>
        </w:tc>
        <w:tc>
          <w:tcPr>
            <w:tcW w:w="6519" w:type="dxa"/>
            <w:tcBorders>
              <w:top w:val="nil"/>
              <w:left w:val="nil"/>
              <w:bottom w:val="nil"/>
              <w:right w:val="nil"/>
            </w:tcBorders>
          </w:tcPr>
          <w:p w14:paraId="1184C3A7" w14:textId="77777777" w:rsidR="00641185" w:rsidRDefault="00641185" w:rsidP="002640EB">
            <w:pPr>
              <w:pStyle w:val="ReportHeader0"/>
              <w:widowControl/>
              <w:rPr>
                <w:sz w:val="20"/>
                <w:szCs w:val="20"/>
              </w:rPr>
            </w:pPr>
            <w:r>
              <w:t>Association internationale du transport aérien.</w:t>
            </w:r>
          </w:p>
        </w:tc>
      </w:tr>
      <w:tr w:rsidR="00641185" w:rsidRPr="00872994" w14:paraId="50344C04" w14:textId="77777777" w:rsidTr="002640EB">
        <w:tc>
          <w:tcPr>
            <w:tcW w:w="1418" w:type="dxa"/>
            <w:tcBorders>
              <w:top w:val="nil"/>
              <w:left w:val="nil"/>
              <w:bottom w:val="nil"/>
              <w:right w:val="nil"/>
            </w:tcBorders>
          </w:tcPr>
          <w:p w14:paraId="5665A9C8" w14:textId="77777777" w:rsidR="00641185" w:rsidRDefault="00641185" w:rsidP="002640EB">
            <w:pPr>
              <w:pStyle w:val="ReportHeader0"/>
              <w:widowControl/>
              <w:rPr>
                <w:sz w:val="20"/>
                <w:szCs w:val="20"/>
              </w:rPr>
            </w:pPr>
            <w:r>
              <w:rPr>
                <w:sz w:val="20"/>
                <w:szCs w:val="20"/>
              </w:rPr>
              <w:t>IATA-DGR:</w:t>
            </w:r>
          </w:p>
        </w:tc>
        <w:tc>
          <w:tcPr>
            <w:tcW w:w="6519" w:type="dxa"/>
            <w:tcBorders>
              <w:top w:val="nil"/>
              <w:left w:val="nil"/>
              <w:bottom w:val="nil"/>
              <w:right w:val="nil"/>
            </w:tcBorders>
          </w:tcPr>
          <w:p w14:paraId="152F3C98" w14:textId="77777777" w:rsidR="00641185" w:rsidRPr="002C4D2B" w:rsidRDefault="00641185" w:rsidP="002640EB">
            <w:pPr>
              <w:pStyle w:val="ReportHeader0"/>
              <w:widowControl/>
              <w:rPr>
                <w:sz w:val="20"/>
                <w:szCs w:val="20"/>
                <w:lang w:val="en-US"/>
              </w:rPr>
            </w:pPr>
            <w:r>
              <w:t>Réglementation sur les marchandises dangereuses de l’Association internationale du transport aérien (IATA).</w:t>
            </w:r>
          </w:p>
        </w:tc>
      </w:tr>
      <w:tr w:rsidR="00641185" w14:paraId="454DEB79" w14:textId="77777777" w:rsidTr="002640EB">
        <w:tc>
          <w:tcPr>
            <w:tcW w:w="1418" w:type="dxa"/>
            <w:tcBorders>
              <w:top w:val="nil"/>
              <w:left w:val="nil"/>
              <w:bottom w:val="nil"/>
              <w:right w:val="nil"/>
            </w:tcBorders>
          </w:tcPr>
          <w:p w14:paraId="01550328" w14:textId="77777777" w:rsidR="00641185" w:rsidRDefault="00641185" w:rsidP="002640EB">
            <w:pPr>
              <w:pStyle w:val="ReportHeader0"/>
              <w:widowControl/>
              <w:rPr>
                <w:sz w:val="20"/>
                <w:szCs w:val="20"/>
              </w:rPr>
            </w:pPr>
            <w:r>
              <w:rPr>
                <w:sz w:val="20"/>
                <w:szCs w:val="20"/>
              </w:rPr>
              <w:t>ICAO:</w:t>
            </w:r>
          </w:p>
        </w:tc>
        <w:tc>
          <w:tcPr>
            <w:tcW w:w="6519" w:type="dxa"/>
            <w:tcBorders>
              <w:top w:val="nil"/>
              <w:left w:val="nil"/>
              <w:bottom w:val="nil"/>
              <w:right w:val="nil"/>
            </w:tcBorders>
          </w:tcPr>
          <w:p w14:paraId="3566D6DF" w14:textId="77777777" w:rsidR="00641185" w:rsidRDefault="00641185" w:rsidP="002640EB">
            <w:pPr>
              <w:pStyle w:val="ReportHeader0"/>
              <w:widowControl/>
              <w:rPr>
                <w:sz w:val="20"/>
                <w:szCs w:val="20"/>
              </w:rPr>
            </w:pPr>
            <w:r>
              <w:t>Organisation de l’aviation civile internationale.</w:t>
            </w:r>
          </w:p>
        </w:tc>
      </w:tr>
      <w:tr w:rsidR="00641185" w:rsidRPr="00872994" w14:paraId="17AF23DE" w14:textId="77777777" w:rsidTr="002640EB">
        <w:tc>
          <w:tcPr>
            <w:tcW w:w="1418" w:type="dxa"/>
            <w:tcBorders>
              <w:top w:val="nil"/>
              <w:left w:val="nil"/>
              <w:bottom w:val="nil"/>
              <w:right w:val="nil"/>
            </w:tcBorders>
          </w:tcPr>
          <w:p w14:paraId="594F6AAE" w14:textId="77777777" w:rsidR="00641185" w:rsidRDefault="00641185" w:rsidP="002640EB">
            <w:pPr>
              <w:pStyle w:val="ReportHeader0"/>
              <w:widowControl/>
              <w:rPr>
                <w:sz w:val="20"/>
                <w:szCs w:val="20"/>
              </w:rPr>
            </w:pPr>
            <w:r>
              <w:rPr>
                <w:sz w:val="20"/>
                <w:szCs w:val="20"/>
              </w:rPr>
              <w:t>ICAO-TI:</w:t>
            </w:r>
          </w:p>
        </w:tc>
        <w:tc>
          <w:tcPr>
            <w:tcW w:w="6519" w:type="dxa"/>
            <w:tcBorders>
              <w:top w:val="nil"/>
              <w:left w:val="nil"/>
              <w:bottom w:val="nil"/>
              <w:right w:val="nil"/>
            </w:tcBorders>
          </w:tcPr>
          <w:p w14:paraId="56BC7A5D" w14:textId="77777777" w:rsidR="00641185" w:rsidRPr="002C4D2B" w:rsidRDefault="00641185" w:rsidP="002640EB">
            <w:pPr>
              <w:pStyle w:val="ReportHeader0"/>
              <w:widowControl/>
              <w:rPr>
                <w:sz w:val="20"/>
                <w:szCs w:val="20"/>
                <w:lang w:val="en-US"/>
              </w:rPr>
            </w:pPr>
            <w:r>
              <w:t>Instructions techniques de l’Organisation de l’aviation civile internationale (OACI).</w:t>
            </w:r>
          </w:p>
        </w:tc>
      </w:tr>
      <w:tr w:rsidR="00641185" w:rsidRPr="00872994" w14:paraId="49D83C07" w14:textId="77777777" w:rsidTr="002640EB">
        <w:tc>
          <w:tcPr>
            <w:tcW w:w="1418" w:type="dxa"/>
            <w:tcBorders>
              <w:top w:val="nil"/>
              <w:left w:val="nil"/>
              <w:bottom w:val="nil"/>
              <w:right w:val="nil"/>
            </w:tcBorders>
          </w:tcPr>
          <w:p w14:paraId="34FFCC92" w14:textId="77777777" w:rsidR="00641185" w:rsidRDefault="00641185" w:rsidP="002640EB">
            <w:pPr>
              <w:pStyle w:val="ReportHeader0"/>
              <w:widowControl/>
              <w:rPr>
                <w:sz w:val="20"/>
                <w:szCs w:val="20"/>
              </w:rPr>
            </w:pPr>
            <w:r>
              <w:rPr>
                <w:sz w:val="20"/>
                <w:szCs w:val="20"/>
              </w:rPr>
              <w:t>IMDG:</w:t>
            </w:r>
          </w:p>
        </w:tc>
        <w:tc>
          <w:tcPr>
            <w:tcW w:w="6519" w:type="dxa"/>
            <w:tcBorders>
              <w:top w:val="nil"/>
              <w:left w:val="nil"/>
              <w:bottom w:val="nil"/>
              <w:right w:val="nil"/>
            </w:tcBorders>
          </w:tcPr>
          <w:p w14:paraId="5457DD79" w14:textId="77777777" w:rsidR="00641185" w:rsidRPr="002C4D2B" w:rsidRDefault="00641185" w:rsidP="002640EB">
            <w:pPr>
              <w:pStyle w:val="ReportHeader0"/>
              <w:widowControl/>
              <w:rPr>
                <w:sz w:val="20"/>
                <w:szCs w:val="20"/>
                <w:lang w:val="en-US"/>
              </w:rPr>
            </w:pPr>
            <w:r>
              <w:t>Code maritime international des marchandises dangereuses.</w:t>
            </w:r>
          </w:p>
        </w:tc>
      </w:tr>
      <w:tr w:rsidR="00641185" w:rsidRPr="00872994" w14:paraId="7F694BDB" w14:textId="77777777" w:rsidTr="002640EB">
        <w:tc>
          <w:tcPr>
            <w:tcW w:w="1418" w:type="dxa"/>
            <w:tcBorders>
              <w:top w:val="nil"/>
              <w:left w:val="nil"/>
              <w:bottom w:val="nil"/>
              <w:right w:val="nil"/>
            </w:tcBorders>
          </w:tcPr>
          <w:p w14:paraId="0783C6EB" w14:textId="77777777" w:rsidR="00641185" w:rsidRDefault="00641185" w:rsidP="002640EB">
            <w:pPr>
              <w:pStyle w:val="ReportHeader0"/>
              <w:widowControl/>
              <w:rPr>
                <w:sz w:val="20"/>
                <w:szCs w:val="20"/>
              </w:rPr>
            </w:pPr>
            <w:r>
              <w:rPr>
                <w:sz w:val="20"/>
                <w:szCs w:val="20"/>
              </w:rPr>
              <w:t>INCI:</w:t>
            </w:r>
          </w:p>
        </w:tc>
        <w:tc>
          <w:tcPr>
            <w:tcW w:w="6519" w:type="dxa"/>
            <w:tcBorders>
              <w:top w:val="nil"/>
              <w:left w:val="nil"/>
              <w:bottom w:val="nil"/>
              <w:right w:val="nil"/>
            </w:tcBorders>
          </w:tcPr>
          <w:p w14:paraId="6572C7D6" w14:textId="77777777" w:rsidR="00641185" w:rsidRPr="002C4D2B" w:rsidRDefault="00641185" w:rsidP="002640EB">
            <w:pPr>
              <w:pStyle w:val="ReportHeader0"/>
              <w:widowControl/>
              <w:rPr>
                <w:sz w:val="20"/>
                <w:szCs w:val="20"/>
                <w:lang w:val="en-US"/>
              </w:rPr>
            </w:pPr>
            <w:r>
              <w:t>Nomenclature internationale des ingrédients cosmétiques.</w:t>
            </w:r>
          </w:p>
        </w:tc>
      </w:tr>
      <w:tr w:rsidR="00641185" w14:paraId="275D6DD7" w14:textId="77777777" w:rsidTr="002640EB">
        <w:tc>
          <w:tcPr>
            <w:tcW w:w="1418" w:type="dxa"/>
            <w:tcBorders>
              <w:top w:val="nil"/>
              <w:left w:val="nil"/>
              <w:bottom w:val="nil"/>
              <w:right w:val="nil"/>
            </w:tcBorders>
          </w:tcPr>
          <w:p w14:paraId="05901F13" w14:textId="77777777" w:rsidR="00641185" w:rsidRDefault="00641185" w:rsidP="002640EB">
            <w:pPr>
              <w:pStyle w:val="ReportHeader0"/>
              <w:widowControl/>
              <w:rPr>
                <w:sz w:val="20"/>
                <w:szCs w:val="20"/>
              </w:rPr>
            </w:pPr>
            <w:r>
              <w:rPr>
                <w:sz w:val="20"/>
                <w:szCs w:val="20"/>
              </w:rPr>
              <w:t>KSt:</w:t>
            </w:r>
          </w:p>
        </w:tc>
        <w:tc>
          <w:tcPr>
            <w:tcW w:w="6519" w:type="dxa"/>
            <w:tcBorders>
              <w:top w:val="nil"/>
              <w:left w:val="nil"/>
              <w:bottom w:val="nil"/>
              <w:right w:val="nil"/>
            </w:tcBorders>
          </w:tcPr>
          <w:p w14:paraId="0504E1F7" w14:textId="77777777" w:rsidR="00641185" w:rsidRDefault="00641185" w:rsidP="002640EB">
            <w:pPr>
              <w:pStyle w:val="ReportHeader0"/>
              <w:widowControl/>
              <w:rPr>
                <w:sz w:val="20"/>
                <w:szCs w:val="20"/>
              </w:rPr>
            </w:pPr>
            <w:r>
              <w:t>Coefficient d’explosion.</w:t>
            </w:r>
          </w:p>
        </w:tc>
      </w:tr>
      <w:tr w:rsidR="00641185" w:rsidRPr="00872994" w14:paraId="49224766" w14:textId="77777777" w:rsidTr="002640EB">
        <w:tc>
          <w:tcPr>
            <w:tcW w:w="1418" w:type="dxa"/>
            <w:tcBorders>
              <w:top w:val="nil"/>
              <w:left w:val="nil"/>
              <w:bottom w:val="nil"/>
              <w:right w:val="nil"/>
            </w:tcBorders>
          </w:tcPr>
          <w:p w14:paraId="464B91EB" w14:textId="77777777" w:rsidR="00641185" w:rsidRDefault="00641185" w:rsidP="002640EB">
            <w:pPr>
              <w:pStyle w:val="ReportHeader0"/>
              <w:widowControl/>
              <w:rPr>
                <w:sz w:val="20"/>
                <w:szCs w:val="20"/>
              </w:rPr>
            </w:pPr>
            <w:r>
              <w:rPr>
                <w:sz w:val="20"/>
                <w:szCs w:val="20"/>
              </w:rPr>
              <w:t>LC50:</w:t>
            </w:r>
          </w:p>
        </w:tc>
        <w:tc>
          <w:tcPr>
            <w:tcW w:w="6519" w:type="dxa"/>
            <w:tcBorders>
              <w:top w:val="nil"/>
              <w:left w:val="nil"/>
              <w:bottom w:val="nil"/>
              <w:right w:val="nil"/>
            </w:tcBorders>
          </w:tcPr>
          <w:p w14:paraId="5C29C2C8" w14:textId="77777777" w:rsidR="00641185" w:rsidRPr="002C4D2B" w:rsidRDefault="00641185" w:rsidP="002640EB">
            <w:pPr>
              <w:pStyle w:val="ReportHeader0"/>
              <w:widowControl/>
              <w:rPr>
                <w:sz w:val="20"/>
                <w:szCs w:val="20"/>
                <w:lang w:val="en-US"/>
              </w:rPr>
            </w:pPr>
            <w:r>
              <w:t>Concentration létale pour 50 % de la population testée.</w:t>
            </w:r>
          </w:p>
        </w:tc>
      </w:tr>
      <w:tr w:rsidR="00641185" w:rsidRPr="00872994" w14:paraId="3003A44B" w14:textId="77777777" w:rsidTr="002640EB">
        <w:tc>
          <w:tcPr>
            <w:tcW w:w="1418" w:type="dxa"/>
            <w:tcBorders>
              <w:top w:val="nil"/>
              <w:left w:val="nil"/>
              <w:bottom w:val="nil"/>
              <w:right w:val="nil"/>
            </w:tcBorders>
          </w:tcPr>
          <w:p w14:paraId="4319FE9A" w14:textId="77777777" w:rsidR="00641185" w:rsidRDefault="00641185" w:rsidP="002640EB">
            <w:pPr>
              <w:pStyle w:val="ReportHeader0"/>
              <w:widowControl/>
              <w:rPr>
                <w:sz w:val="20"/>
                <w:szCs w:val="20"/>
              </w:rPr>
            </w:pPr>
            <w:r>
              <w:rPr>
                <w:sz w:val="20"/>
                <w:szCs w:val="20"/>
              </w:rPr>
              <w:t>LD50:</w:t>
            </w:r>
          </w:p>
        </w:tc>
        <w:tc>
          <w:tcPr>
            <w:tcW w:w="6519" w:type="dxa"/>
            <w:tcBorders>
              <w:top w:val="nil"/>
              <w:left w:val="nil"/>
              <w:bottom w:val="nil"/>
              <w:right w:val="nil"/>
            </w:tcBorders>
          </w:tcPr>
          <w:p w14:paraId="57493F06" w14:textId="77777777" w:rsidR="00641185" w:rsidRPr="002C4D2B" w:rsidRDefault="00641185" w:rsidP="002640EB">
            <w:pPr>
              <w:pStyle w:val="ReportHeader0"/>
              <w:widowControl/>
              <w:rPr>
                <w:sz w:val="20"/>
                <w:szCs w:val="20"/>
                <w:lang w:val="en-US"/>
              </w:rPr>
            </w:pPr>
            <w:r>
              <w:t>Dose létale pour 50 % de la population testée.</w:t>
            </w:r>
          </w:p>
        </w:tc>
      </w:tr>
      <w:tr w:rsidR="00641185" w14:paraId="6ECBA624" w14:textId="77777777" w:rsidTr="002640EB">
        <w:tc>
          <w:tcPr>
            <w:tcW w:w="1418" w:type="dxa"/>
            <w:tcBorders>
              <w:top w:val="nil"/>
              <w:left w:val="nil"/>
              <w:bottom w:val="nil"/>
              <w:right w:val="nil"/>
            </w:tcBorders>
          </w:tcPr>
          <w:p w14:paraId="16C2A64B" w14:textId="77777777" w:rsidR="00641185" w:rsidRDefault="00641185" w:rsidP="002640EB">
            <w:pPr>
              <w:pStyle w:val="ReportHeader0"/>
              <w:widowControl/>
              <w:rPr>
                <w:sz w:val="20"/>
                <w:szCs w:val="20"/>
              </w:rPr>
            </w:pPr>
            <w:r>
              <w:rPr>
                <w:sz w:val="20"/>
                <w:szCs w:val="20"/>
              </w:rPr>
              <w:t>PNEC:</w:t>
            </w:r>
          </w:p>
        </w:tc>
        <w:tc>
          <w:tcPr>
            <w:tcW w:w="6519" w:type="dxa"/>
            <w:tcBorders>
              <w:top w:val="nil"/>
              <w:left w:val="nil"/>
              <w:bottom w:val="nil"/>
              <w:right w:val="nil"/>
            </w:tcBorders>
          </w:tcPr>
          <w:p w14:paraId="447244F1" w14:textId="77777777" w:rsidR="00641185" w:rsidRDefault="00641185" w:rsidP="002640EB">
            <w:pPr>
              <w:pStyle w:val="ReportHeader0"/>
              <w:widowControl/>
              <w:rPr>
                <w:sz w:val="20"/>
                <w:szCs w:val="20"/>
              </w:rPr>
            </w:pPr>
            <w:r>
              <w:t>Concentration prévisible sans effet.</w:t>
            </w:r>
          </w:p>
        </w:tc>
      </w:tr>
      <w:tr w:rsidR="00641185" w:rsidRPr="00872994" w14:paraId="2A9BC65C" w14:textId="77777777" w:rsidTr="002640EB">
        <w:tc>
          <w:tcPr>
            <w:tcW w:w="1418" w:type="dxa"/>
            <w:tcBorders>
              <w:top w:val="nil"/>
              <w:left w:val="nil"/>
              <w:bottom w:val="nil"/>
              <w:right w:val="nil"/>
            </w:tcBorders>
          </w:tcPr>
          <w:p w14:paraId="15B1B60E" w14:textId="77777777" w:rsidR="00641185" w:rsidRDefault="00641185" w:rsidP="002640EB">
            <w:pPr>
              <w:pStyle w:val="ReportHeader0"/>
              <w:widowControl/>
              <w:rPr>
                <w:sz w:val="20"/>
                <w:szCs w:val="20"/>
              </w:rPr>
            </w:pPr>
            <w:r>
              <w:rPr>
                <w:sz w:val="20"/>
                <w:szCs w:val="20"/>
              </w:rPr>
              <w:t>RID:</w:t>
            </w:r>
          </w:p>
        </w:tc>
        <w:tc>
          <w:tcPr>
            <w:tcW w:w="6519" w:type="dxa"/>
            <w:tcBorders>
              <w:top w:val="nil"/>
              <w:left w:val="nil"/>
              <w:bottom w:val="nil"/>
              <w:right w:val="nil"/>
            </w:tcBorders>
          </w:tcPr>
          <w:p w14:paraId="5DA1FE0B" w14:textId="77777777" w:rsidR="00641185" w:rsidRPr="002C4D2B" w:rsidRDefault="00641185" w:rsidP="002640EB">
            <w:pPr>
              <w:pStyle w:val="ReportHeader0"/>
              <w:widowControl/>
              <w:rPr>
                <w:sz w:val="20"/>
                <w:szCs w:val="20"/>
                <w:lang w:val="en-US"/>
              </w:rPr>
            </w:pPr>
            <w:r>
              <w:t>Règlement concernant le transport international ferroviaire des marchandises dangereuses.</w:t>
            </w:r>
          </w:p>
        </w:tc>
      </w:tr>
      <w:tr w:rsidR="00641185" w14:paraId="0C3F7A34" w14:textId="77777777" w:rsidTr="002640EB">
        <w:tc>
          <w:tcPr>
            <w:tcW w:w="1418" w:type="dxa"/>
            <w:tcBorders>
              <w:top w:val="nil"/>
              <w:left w:val="nil"/>
              <w:bottom w:val="nil"/>
              <w:right w:val="nil"/>
            </w:tcBorders>
          </w:tcPr>
          <w:p w14:paraId="35159382" w14:textId="77777777" w:rsidR="00641185" w:rsidRDefault="00641185" w:rsidP="002640EB">
            <w:pPr>
              <w:pStyle w:val="ReportHeader0"/>
              <w:widowControl/>
              <w:rPr>
                <w:sz w:val="20"/>
                <w:szCs w:val="20"/>
              </w:rPr>
            </w:pPr>
            <w:r>
              <w:rPr>
                <w:sz w:val="20"/>
                <w:szCs w:val="20"/>
              </w:rPr>
              <w:t>IS:</w:t>
            </w:r>
          </w:p>
        </w:tc>
        <w:tc>
          <w:tcPr>
            <w:tcW w:w="6519" w:type="dxa"/>
            <w:tcBorders>
              <w:top w:val="nil"/>
              <w:left w:val="nil"/>
              <w:bottom w:val="nil"/>
              <w:right w:val="nil"/>
            </w:tcBorders>
          </w:tcPr>
          <w:p w14:paraId="17C8C522" w14:textId="77777777" w:rsidR="00641185" w:rsidRDefault="00641185" w:rsidP="002640EB">
            <w:pPr>
              <w:pStyle w:val="ReportHeader0"/>
              <w:widowControl/>
              <w:rPr>
                <w:sz w:val="20"/>
                <w:szCs w:val="20"/>
              </w:rPr>
            </w:pPr>
            <w:r>
              <w:t>Estimation de la toxicité aiguë</w:t>
            </w:r>
          </w:p>
        </w:tc>
      </w:tr>
      <w:tr w:rsidR="00641185" w14:paraId="13867B4E" w14:textId="77777777" w:rsidTr="002640EB">
        <w:tc>
          <w:tcPr>
            <w:tcW w:w="1418" w:type="dxa"/>
            <w:tcBorders>
              <w:top w:val="nil"/>
              <w:left w:val="nil"/>
              <w:bottom w:val="nil"/>
              <w:right w:val="nil"/>
            </w:tcBorders>
          </w:tcPr>
          <w:p w14:paraId="7A3FCFFD" w14:textId="77777777" w:rsidR="00641185" w:rsidRDefault="00641185" w:rsidP="002640EB">
            <w:pPr>
              <w:pStyle w:val="ReportHeader0"/>
              <w:widowControl/>
              <w:rPr>
                <w:sz w:val="20"/>
                <w:szCs w:val="20"/>
              </w:rPr>
            </w:pPr>
            <w:r>
              <w:rPr>
                <w:sz w:val="20"/>
                <w:szCs w:val="20"/>
              </w:rPr>
              <w:t>STAmix:</w:t>
            </w:r>
          </w:p>
        </w:tc>
        <w:tc>
          <w:tcPr>
            <w:tcW w:w="6519" w:type="dxa"/>
            <w:tcBorders>
              <w:top w:val="nil"/>
              <w:left w:val="nil"/>
              <w:bottom w:val="nil"/>
              <w:right w:val="nil"/>
            </w:tcBorders>
          </w:tcPr>
          <w:p w14:paraId="7D1B1877" w14:textId="77777777" w:rsidR="00641185" w:rsidRDefault="00641185" w:rsidP="002640EB">
            <w:pPr>
              <w:pStyle w:val="ReportHeader0"/>
              <w:widowControl/>
              <w:rPr>
                <w:sz w:val="20"/>
                <w:szCs w:val="20"/>
              </w:rPr>
            </w:pPr>
            <w:r>
              <w:t>Estimation de la toxicité aiguë (mélanges)</w:t>
            </w:r>
          </w:p>
        </w:tc>
      </w:tr>
      <w:tr w:rsidR="00641185" w14:paraId="6CEC4F96" w14:textId="77777777" w:rsidTr="002640EB">
        <w:tc>
          <w:tcPr>
            <w:tcW w:w="1418" w:type="dxa"/>
            <w:tcBorders>
              <w:top w:val="nil"/>
              <w:left w:val="nil"/>
              <w:bottom w:val="nil"/>
              <w:right w:val="nil"/>
            </w:tcBorders>
          </w:tcPr>
          <w:p w14:paraId="29350C5F" w14:textId="77777777" w:rsidR="00641185" w:rsidRDefault="00641185" w:rsidP="002640EB">
            <w:pPr>
              <w:pStyle w:val="ReportHeader0"/>
              <w:widowControl/>
              <w:rPr>
                <w:sz w:val="20"/>
                <w:szCs w:val="20"/>
              </w:rPr>
            </w:pPr>
            <w:r>
              <w:rPr>
                <w:sz w:val="20"/>
                <w:szCs w:val="20"/>
              </w:rPr>
              <w:t>STEL:</w:t>
            </w:r>
          </w:p>
        </w:tc>
        <w:tc>
          <w:tcPr>
            <w:tcW w:w="6519" w:type="dxa"/>
            <w:tcBorders>
              <w:top w:val="nil"/>
              <w:left w:val="nil"/>
              <w:bottom w:val="nil"/>
              <w:right w:val="nil"/>
            </w:tcBorders>
          </w:tcPr>
          <w:p w14:paraId="7328525B" w14:textId="77777777" w:rsidR="00641185" w:rsidRDefault="00641185" w:rsidP="002640EB">
            <w:pPr>
              <w:pStyle w:val="ReportHeader0"/>
              <w:widowControl/>
              <w:rPr>
                <w:sz w:val="20"/>
                <w:szCs w:val="20"/>
              </w:rPr>
            </w:pPr>
            <w:r>
              <w:t>Limite d’exposition à court terme.</w:t>
            </w:r>
          </w:p>
        </w:tc>
      </w:tr>
      <w:tr w:rsidR="00641185" w14:paraId="329DEF60" w14:textId="77777777" w:rsidTr="002640EB">
        <w:tc>
          <w:tcPr>
            <w:tcW w:w="1418" w:type="dxa"/>
            <w:tcBorders>
              <w:top w:val="nil"/>
              <w:left w:val="nil"/>
              <w:bottom w:val="nil"/>
              <w:right w:val="nil"/>
            </w:tcBorders>
          </w:tcPr>
          <w:p w14:paraId="40B6284D" w14:textId="77777777" w:rsidR="00641185" w:rsidRDefault="00641185" w:rsidP="002640EB">
            <w:pPr>
              <w:pStyle w:val="ReportHeader0"/>
              <w:widowControl/>
              <w:rPr>
                <w:sz w:val="20"/>
                <w:szCs w:val="20"/>
              </w:rPr>
            </w:pPr>
            <w:r>
              <w:rPr>
                <w:sz w:val="20"/>
                <w:szCs w:val="20"/>
              </w:rPr>
              <w:t>STOT:</w:t>
            </w:r>
          </w:p>
        </w:tc>
        <w:tc>
          <w:tcPr>
            <w:tcW w:w="6519" w:type="dxa"/>
            <w:tcBorders>
              <w:top w:val="nil"/>
              <w:left w:val="nil"/>
              <w:bottom w:val="nil"/>
              <w:right w:val="nil"/>
            </w:tcBorders>
          </w:tcPr>
          <w:p w14:paraId="2734E0B9" w14:textId="77777777" w:rsidR="00641185" w:rsidRDefault="00641185" w:rsidP="002640EB">
            <w:pPr>
              <w:pStyle w:val="ReportHeader0"/>
              <w:widowControl/>
              <w:rPr>
                <w:sz w:val="20"/>
                <w:szCs w:val="20"/>
              </w:rPr>
            </w:pPr>
            <w:r>
              <w:t>Toxicité spécifique pour certains organes cibles.</w:t>
            </w:r>
          </w:p>
        </w:tc>
      </w:tr>
      <w:tr w:rsidR="00641185" w14:paraId="7A6D00E5" w14:textId="77777777" w:rsidTr="002640EB">
        <w:tc>
          <w:tcPr>
            <w:tcW w:w="1418" w:type="dxa"/>
            <w:tcBorders>
              <w:top w:val="nil"/>
              <w:left w:val="nil"/>
              <w:bottom w:val="nil"/>
              <w:right w:val="nil"/>
            </w:tcBorders>
          </w:tcPr>
          <w:p w14:paraId="6FF50B5E" w14:textId="77777777" w:rsidR="00641185" w:rsidRDefault="00641185" w:rsidP="002640EB">
            <w:pPr>
              <w:pStyle w:val="ReportHeader0"/>
              <w:widowControl/>
              <w:rPr>
                <w:sz w:val="20"/>
                <w:szCs w:val="20"/>
              </w:rPr>
            </w:pPr>
            <w:r>
              <w:rPr>
                <w:sz w:val="20"/>
                <w:szCs w:val="20"/>
              </w:rPr>
              <w:t>TLV:</w:t>
            </w:r>
          </w:p>
        </w:tc>
        <w:tc>
          <w:tcPr>
            <w:tcW w:w="6519" w:type="dxa"/>
            <w:tcBorders>
              <w:top w:val="nil"/>
              <w:left w:val="nil"/>
              <w:bottom w:val="nil"/>
              <w:right w:val="nil"/>
            </w:tcBorders>
          </w:tcPr>
          <w:p w14:paraId="26C1F8A8" w14:textId="77777777" w:rsidR="00641185" w:rsidRDefault="00641185" w:rsidP="002640EB">
            <w:pPr>
              <w:pStyle w:val="ReportHeader0"/>
              <w:widowControl/>
              <w:rPr>
                <w:sz w:val="20"/>
                <w:szCs w:val="20"/>
              </w:rPr>
            </w:pPr>
            <w:r>
              <w:t>Valeur limite d’exposition.</w:t>
            </w:r>
          </w:p>
        </w:tc>
      </w:tr>
      <w:tr w:rsidR="00641185" w14:paraId="39027C97" w14:textId="77777777" w:rsidTr="002640EB">
        <w:tc>
          <w:tcPr>
            <w:tcW w:w="1418" w:type="dxa"/>
            <w:tcBorders>
              <w:top w:val="nil"/>
              <w:left w:val="nil"/>
              <w:bottom w:val="nil"/>
              <w:right w:val="nil"/>
            </w:tcBorders>
          </w:tcPr>
          <w:p w14:paraId="42C8566A" w14:textId="77777777" w:rsidR="00641185" w:rsidRDefault="00641185" w:rsidP="002640EB">
            <w:pPr>
              <w:pStyle w:val="ReportHeader0"/>
              <w:widowControl/>
              <w:rPr>
                <w:sz w:val="20"/>
                <w:szCs w:val="20"/>
              </w:rPr>
            </w:pPr>
            <w:r>
              <w:rPr>
                <w:sz w:val="20"/>
                <w:szCs w:val="20"/>
              </w:rPr>
              <w:t>TWA:</w:t>
            </w:r>
          </w:p>
        </w:tc>
        <w:tc>
          <w:tcPr>
            <w:tcW w:w="6519" w:type="dxa"/>
            <w:tcBorders>
              <w:top w:val="nil"/>
              <w:left w:val="nil"/>
              <w:bottom w:val="nil"/>
              <w:right w:val="nil"/>
            </w:tcBorders>
          </w:tcPr>
          <w:p w14:paraId="1AA7F8DA" w14:textId="77777777" w:rsidR="00641185" w:rsidRDefault="00641185" w:rsidP="002640EB">
            <w:pPr>
              <w:pStyle w:val="ReportHeader0"/>
              <w:widowControl/>
              <w:rPr>
                <w:sz w:val="20"/>
                <w:szCs w:val="20"/>
              </w:rPr>
            </w:pPr>
            <w:r>
              <w:t>Moyenne pondérée dans le temps</w:t>
            </w:r>
          </w:p>
        </w:tc>
      </w:tr>
      <w:tr w:rsidR="00641185" w14:paraId="4440ACFA" w14:textId="77777777" w:rsidTr="002640EB">
        <w:tc>
          <w:tcPr>
            <w:tcW w:w="1418" w:type="dxa"/>
            <w:tcBorders>
              <w:top w:val="nil"/>
              <w:left w:val="nil"/>
              <w:bottom w:val="nil"/>
              <w:right w:val="nil"/>
            </w:tcBorders>
          </w:tcPr>
          <w:p w14:paraId="2F728BF1" w14:textId="77777777" w:rsidR="00641185" w:rsidRDefault="00641185" w:rsidP="002640EB">
            <w:pPr>
              <w:pStyle w:val="ReportHeader0"/>
              <w:widowControl/>
              <w:rPr>
                <w:sz w:val="20"/>
                <w:szCs w:val="20"/>
              </w:rPr>
            </w:pPr>
            <w:r>
              <w:rPr>
                <w:sz w:val="20"/>
                <w:szCs w:val="20"/>
              </w:rPr>
              <w:t>WGK:</w:t>
            </w:r>
          </w:p>
        </w:tc>
        <w:tc>
          <w:tcPr>
            <w:tcW w:w="6519" w:type="dxa"/>
            <w:tcBorders>
              <w:top w:val="nil"/>
              <w:left w:val="nil"/>
              <w:bottom w:val="nil"/>
              <w:right w:val="nil"/>
            </w:tcBorders>
          </w:tcPr>
          <w:p w14:paraId="586F6348" w14:textId="77777777" w:rsidR="00641185" w:rsidRDefault="00641185" w:rsidP="002640EB">
            <w:pPr>
              <w:pStyle w:val="ReportHeader0"/>
              <w:widowControl/>
              <w:rPr>
                <w:sz w:val="20"/>
                <w:szCs w:val="20"/>
              </w:rPr>
            </w:pPr>
            <w:r>
              <w:t>Classe allemande de danger pour l’eau.</w:t>
            </w:r>
          </w:p>
        </w:tc>
      </w:tr>
    </w:tbl>
    <w:p w14:paraId="0038DB46" w14:textId="77777777" w:rsidR="00641185" w:rsidRDefault="00641185" w:rsidP="00641185">
      <w:pPr>
        <w:pStyle w:val="SDSText0"/>
        <w:widowControl/>
        <w:ind w:left="566"/>
      </w:pPr>
    </w:p>
    <w:p w14:paraId="2040C7DA" w14:textId="77777777" w:rsidR="00641185" w:rsidRDefault="00641185" w:rsidP="00641185">
      <w:pPr>
        <w:pStyle w:val="SDSText0"/>
        <w:widowControl/>
        <w:ind w:left="566"/>
      </w:pPr>
    </w:p>
    <w:p w14:paraId="703FAB3E" w14:textId="77777777" w:rsidR="00641185" w:rsidRDefault="00641185">
      <w:pPr>
        <w:pStyle w:val="Sectiontitle"/>
        <w:widowControl/>
      </w:pPr>
    </w:p>
    <w:sectPr w:rsidR="00641185">
      <w:headerReference w:type="default" r:id="rId14"/>
      <w:footerReference w:type="default" r:id="rId15"/>
      <w:pgSz w:w="11905" w:h="16837"/>
      <w:pgMar w:top="2205" w:right="1218" w:bottom="1950" w:left="1247" w:header="1133" w:footer="11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1049" w14:textId="77777777" w:rsidR="003166A4" w:rsidRDefault="003166A4">
      <w:pPr>
        <w:spacing w:after="0" w:line="240" w:lineRule="auto"/>
      </w:pPr>
      <w:r>
        <w:separator/>
      </w:r>
    </w:p>
  </w:endnote>
  <w:endnote w:type="continuationSeparator" w:id="0">
    <w:p w14:paraId="10BBE527" w14:textId="77777777" w:rsidR="003166A4" w:rsidRDefault="0031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0FD6" w14:textId="77777777" w:rsidR="00274771" w:rsidRDefault="00274771">
    <w:pPr>
      <w:pStyle w:val="Reportheader"/>
      <w:spacing w:before="56"/>
      <w:rPr>
        <w:color w:val="008000"/>
        <w:sz w:val="20"/>
        <w:szCs w:val="20"/>
      </w:rPr>
    </w:pPr>
    <w:r>
      <w:t>Page n° sur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020D" w14:textId="77777777" w:rsidR="003166A4" w:rsidRDefault="003166A4">
      <w:pPr>
        <w:spacing w:after="0" w:line="240" w:lineRule="auto"/>
      </w:pPr>
      <w:r>
        <w:separator/>
      </w:r>
    </w:p>
  </w:footnote>
  <w:footnote w:type="continuationSeparator" w:id="0">
    <w:p w14:paraId="219CC750" w14:textId="77777777" w:rsidR="003166A4" w:rsidRDefault="0031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4B1B" w14:textId="77777777" w:rsidR="00274771" w:rsidRPr="002C4D2B" w:rsidRDefault="00274771">
    <w:pPr>
      <w:pStyle w:val="SDStitle"/>
      <w:rPr>
        <w:lang w:val="en-US"/>
      </w:rPr>
    </w:pPr>
    <w:r>
      <w:t>Fiche de données de sécurité</w:t>
    </w:r>
  </w:p>
  <w:p w14:paraId="431EEB7A" w14:textId="77140C9D" w:rsidR="00274771" w:rsidRPr="002C4D2B" w:rsidRDefault="00872994">
    <w:pPr>
      <w:pStyle w:val="Reportheader"/>
      <w:spacing w:before="56"/>
      <w:rPr>
        <w:b/>
        <w:bCs/>
        <w:color w:val="008000"/>
        <w:sz w:val="28"/>
        <w:szCs w:val="28"/>
        <w:lang w:val="en-US"/>
      </w:rPr>
    </w:pPr>
    <w:r>
      <w:t>NSP-SP NETTOYANT POUR MOUSSE POLYURÉTHANE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7B78"/>
    <w:multiLevelType w:val="hybridMultilevel"/>
    <w:tmpl w:val="8926F80A"/>
    <w:lvl w:ilvl="0" w:tplc="F320D186">
      <w:start w:val="1"/>
      <w:numFmt w:val="lowerLetter"/>
      <w:lvlText w:val="%1)"/>
      <w:lvlJc w:val="left"/>
      <w:pPr>
        <w:ind w:left="1493" w:hanging="360"/>
      </w:pPr>
      <w:rPr>
        <w:rFonts w:cs="Times New Roman" w:hint="default"/>
      </w:rPr>
    </w:lvl>
    <w:lvl w:ilvl="1" w:tplc="04100019" w:tentative="1">
      <w:start w:val="1"/>
      <w:numFmt w:val="lowerLetter"/>
      <w:lvlText w:val="%2."/>
      <w:lvlJc w:val="left"/>
      <w:pPr>
        <w:ind w:left="2213" w:hanging="360"/>
      </w:pPr>
      <w:rPr>
        <w:rFonts w:cs="Times New Roman"/>
      </w:rPr>
    </w:lvl>
    <w:lvl w:ilvl="2" w:tplc="0410001B" w:tentative="1">
      <w:start w:val="1"/>
      <w:numFmt w:val="lowerRoman"/>
      <w:lvlText w:val="%3."/>
      <w:lvlJc w:val="right"/>
      <w:pPr>
        <w:ind w:left="2933" w:hanging="180"/>
      </w:pPr>
      <w:rPr>
        <w:rFonts w:cs="Times New Roman"/>
      </w:rPr>
    </w:lvl>
    <w:lvl w:ilvl="3" w:tplc="0410000F" w:tentative="1">
      <w:start w:val="1"/>
      <w:numFmt w:val="decimal"/>
      <w:lvlText w:val="%4."/>
      <w:lvlJc w:val="left"/>
      <w:pPr>
        <w:ind w:left="3653" w:hanging="360"/>
      </w:pPr>
      <w:rPr>
        <w:rFonts w:cs="Times New Roman"/>
      </w:rPr>
    </w:lvl>
    <w:lvl w:ilvl="4" w:tplc="04100019" w:tentative="1">
      <w:start w:val="1"/>
      <w:numFmt w:val="lowerLetter"/>
      <w:lvlText w:val="%5."/>
      <w:lvlJc w:val="left"/>
      <w:pPr>
        <w:ind w:left="4373" w:hanging="360"/>
      </w:pPr>
      <w:rPr>
        <w:rFonts w:cs="Times New Roman"/>
      </w:rPr>
    </w:lvl>
    <w:lvl w:ilvl="5" w:tplc="0410001B" w:tentative="1">
      <w:start w:val="1"/>
      <w:numFmt w:val="lowerRoman"/>
      <w:lvlText w:val="%6."/>
      <w:lvlJc w:val="right"/>
      <w:pPr>
        <w:ind w:left="5093" w:hanging="180"/>
      </w:pPr>
      <w:rPr>
        <w:rFonts w:cs="Times New Roman"/>
      </w:rPr>
    </w:lvl>
    <w:lvl w:ilvl="6" w:tplc="0410000F" w:tentative="1">
      <w:start w:val="1"/>
      <w:numFmt w:val="decimal"/>
      <w:lvlText w:val="%7."/>
      <w:lvlJc w:val="left"/>
      <w:pPr>
        <w:ind w:left="5813" w:hanging="360"/>
      </w:pPr>
      <w:rPr>
        <w:rFonts w:cs="Times New Roman"/>
      </w:rPr>
    </w:lvl>
    <w:lvl w:ilvl="7" w:tplc="04100019" w:tentative="1">
      <w:start w:val="1"/>
      <w:numFmt w:val="lowerLetter"/>
      <w:lvlText w:val="%8."/>
      <w:lvlJc w:val="left"/>
      <w:pPr>
        <w:ind w:left="6533" w:hanging="360"/>
      </w:pPr>
      <w:rPr>
        <w:rFonts w:cs="Times New Roman"/>
      </w:rPr>
    </w:lvl>
    <w:lvl w:ilvl="8" w:tplc="0410001B" w:tentative="1">
      <w:start w:val="1"/>
      <w:numFmt w:val="lowerRoman"/>
      <w:lvlText w:val="%9."/>
      <w:lvlJc w:val="right"/>
      <w:pPr>
        <w:ind w:left="7253" w:hanging="180"/>
      </w:pPr>
      <w:rPr>
        <w:rFonts w:cs="Times New Roman"/>
      </w:rPr>
    </w:lvl>
  </w:abstractNum>
  <w:num w:numId="1" w16cid:durableId="45194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133"/>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22"/>
    <w:rsid w:val="000230A8"/>
    <w:rsid w:val="00063043"/>
    <w:rsid w:val="00077952"/>
    <w:rsid w:val="000B3366"/>
    <w:rsid w:val="000D33E3"/>
    <w:rsid w:val="002640EB"/>
    <w:rsid w:val="00274771"/>
    <w:rsid w:val="00281C73"/>
    <w:rsid w:val="002C4D2B"/>
    <w:rsid w:val="002E3CAC"/>
    <w:rsid w:val="003166A4"/>
    <w:rsid w:val="004E29F4"/>
    <w:rsid w:val="00626685"/>
    <w:rsid w:val="00641185"/>
    <w:rsid w:val="00643123"/>
    <w:rsid w:val="00872994"/>
    <w:rsid w:val="00A42D6A"/>
    <w:rsid w:val="00A771E3"/>
    <w:rsid w:val="00B14B49"/>
    <w:rsid w:val="00B67BEE"/>
    <w:rsid w:val="00BA4562"/>
    <w:rsid w:val="00C90CFB"/>
    <w:rsid w:val="00C958A9"/>
    <w:rsid w:val="00D311E6"/>
    <w:rsid w:val="00E03522"/>
    <w:rsid w:val="00E6362F"/>
    <w:rsid w:val="00E83E5C"/>
    <w:rsid w:val="00E84C45"/>
    <w:rsid w:val="00EA7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2AED5"/>
  <w14:defaultImageDpi w14:val="0"/>
  <w15:docId w15:val="{E8F128A0-89BD-4F3E-BB39-BFEDAED8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portheader">
    <w:name w:val="Report header"/>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Reporttext">
    <w:name w:val="Report text"/>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Reportfooter">
    <w:name w:val="Report footer"/>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Reporttitle">
    <w:name w:val="Report title"/>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1">
    <w:name w:val="Text1"/>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DStext">
    <w:name w:val="SDS text"/>
    <w:uiPriority w:val="99"/>
    <w:pPr>
      <w:widowControl w:val="0"/>
      <w:autoSpaceDE w:val="0"/>
      <w:autoSpaceDN w:val="0"/>
      <w:adjustRightInd w:val="0"/>
      <w:spacing w:after="0" w:line="240" w:lineRule="auto"/>
    </w:pPr>
    <w:rPr>
      <w:rFonts w:ascii="Arial" w:hAnsi="Arial" w:cs="Arial"/>
      <w:noProof/>
      <w:color w:val="000000"/>
      <w:sz w:val="20"/>
      <w:szCs w:val="20"/>
    </w:rPr>
  </w:style>
  <w:style w:type="paragraph" w:customStyle="1" w:styleId="Sectiontitle">
    <w:name w:val="Section title"/>
    <w:uiPriority w:val="99"/>
    <w:pPr>
      <w:widowControl w:val="0"/>
      <w:autoSpaceDE w:val="0"/>
      <w:autoSpaceDN w:val="0"/>
      <w:adjustRightInd w:val="0"/>
      <w:spacing w:before="56" w:after="0" w:line="240" w:lineRule="auto"/>
      <w:outlineLvl w:val="0"/>
    </w:pPr>
    <w:rPr>
      <w:rFonts w:ascii="Arial" w:hAnsi="Arial" w:cs="Arial"/>
      <w:b/>
      <w:bCs/>
      <w:noProof/>
      <w:color w:val="0000FF"/>
    </w:rPr>
  </w:style>
  <w:style w:type="paragraph" w:customStyle="1" w:styleId="SDStitle">
    <w:name w:val="SDS title"/>
    <w:uiPriority w:val="99"/>
    <w:pPr>
      <w:widowControl w:val="0"/>
      <w:autoSpaceDE w:val="0"/>
      <w:autoSpaceDN w:val="0"/>
      <w:adjustRightInd w:val="0"/>
      <w:spacing w:before="56" w:after="0" w:line="240" w:lineRule="auto"/>
    </w:pPr>
    <w:rPr>
      <w:rFonts w:ascii="Arial" w:hAnsi="Arial" w:cs="Arial"/>
      <w:b/>
      <w:bCs/>
      <w:noProof/>
      <w:color w:val="008000"/>
      <w:sz w:val="28"/>
      <w:szCs w:val="28"/>
    </w:rPr>
  </w:style>
  <w:style w:type="paragraph" w:customStyle="1" w:styleId="SDSfooter">
    <w:name w:val="SDS footer"/>
    <w:uiPriority w:val="99"/>
    <w:pPr>
      <w:widowControl w:val="0"/>
      <w:autoSpaceDE w:val="0"/>
      <w:autoSpaceDN w:val="0"/>
      <w:adjustRightInd w:val="0"/>
      <w:spacing w:before="56" w:after="0" w:line="240" w:lineRule="auto"/>
    </w:pPr>
    <w:rPr>
      <w:rFonts w:ascii="Arial" w:hAnsi="Arial" w:cs="Arial"/>
      <w:noProof/>
      <w:color w:val="008000"/>
      <w:sz w:val="20"/>
      <w:szCs w:val="20"/>
    </w:rPr>
  </w:style>
  <w:style w:type="paragraph" w:customStyle="1" w:styleId="Coverletter">
    <w:name w:val="Cover letter"/>
    <w:uiPriority w:val="99"/>
    <w:pPr>
      <w:widowControl w:val="0"/>
      <w:autoSpaceDE w:val="0"/>
      <w:autoSpaceDN w:val="0"/>
      <w:adjustRightInd w:val="0"/>
      <w:spacing w:before="56" w:after="0" w:line="240" w:lineRule="auto"/>
    </w:pPr>
    <w:rPr>
      <w:rFonts w:ascii="Arial" w:hAnsi="Arial" w:cs="Arial"/>
      <w:noProof/>
      <w:color w:val="000000"/>
      <w:sz w:val="20"/>
      <w:szCs w:val="20"/>
    </w:rPr>
  </w:style>
  <w:style w:type="paragraph" w:customStyle="1" w:styleId="Text7">
    <w:name w:val="Text7"/>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8">
    <w:name w:val="Text8"/>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9">
    <w:name w:val="Text9"/>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10">
    <w:name w:val="Text10"/>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11">
    <w:name w:val="Text11"/>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ext12">
    <w:name w:val="Text12"/>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16">
    <w:name w:val="Style16"/>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17">
    <w:name w:val="Style17"/>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18">
    <w:name w:val="Style18"/>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19">
    <w:name w:val="Style19"/>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0">
    <w:name w:val="Style20"/>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1">
    <w:name w:val="Style21"/>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2">
    <w:name w:val="Style22"/>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3">
    <w:name w:val="Style23"/>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4">
    <w:name w:val="Style24"/>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5">
    <w:name w:val="Style25"/>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6">
    <w:name w:val="Style26"/>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7">
    <w:name w:val="Style27"/>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8">
    <w:name w:val="Style28"/>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29">
    <w:name w:val="Style29"/>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30">
    <w:name w:val="Style30"/>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31">
    <w:name w:val="Style31"/>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TransportEmergencyTitle">
    <w:name w:val="Transport Emergency Title"/>
    <w:uiPriority w:val="99"/>
    <w:pPr>
      <w:widowControl w:val="0"/>
      <w:autoSpaceDE w:val="0"/>
      <w:autoSpaceDN w:val="0"/>
      <w:adjustRightInd w:val="0"/>
      <w:spacing w:after="0" w:line="240" w:lineRule="auto"/>
    </w:pPr>
    <w:rPr>
      <w:rFonts w:ascii="Arial" w:hAnsi="Arial" w:cs="Arial"/>
      <w:b/>
      <w:bCs/>
      <w:noProof/>
      <w:color w:val="000000"/>
      <w:sz w:val="24"/>
      <w:szCs w:val="24"/>
    </w:rPr>
  </w:style>
  <w:style w:type="paragraph" w:customStyle="1" w:styleId="TransportEmergencySection">
    <w:name w:val="Transport Emergency Section"/>
    <w:uiPriority w:val="99"/>
    <w:pPr>
      <w:widowControl w:val="0"/>
      <w:autoSpaceDE w:val="0"/>
      <w:autoSpaceDN w:val="0"/>
      <w:adjustRightInd w:val="0"/>
      <w:spacing w:after="0" w:line="240" w:lineRule="auto"/>
    </w:pPr>
    <w:rPr>
      <w:rFonts w:ascii="Arial" w:hAnsi="Arial" w:cs="Arial"/>
      <w:b/>
      <w:bCs/>
      <w:noProof/>
      <w:color w:val="000000"/>
      <w:sz w:val="18"/>
      <w:szCs w:val="18"/>
    </w:rPr>
  </w:style>
  <w:style w:type="paragraph" w:customStyle="1" w:styleId="Style34">
    <w:name w:val="Style34"/>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tyle35">
    <w:name w:val="Style35"/>
    <w:uiPriority w:val="99"/>
    <w:pPr>
      <w:widowControl w:val="0"/>
      <w:autoSpaceDE w:val="0"/>
      <w:autoSpaceDN w:val="0"/>
      <w:adjustRightInd w:val="0"/>
      <w:spacing w:after="0" w:line="240" w:lineRule="auto"/>
    </w:pPr>
    <w:rPr>
      <w:rFonts w:ascii="Arial" w:hAnsi="Arial" w:cs="Arial"/>
      <w:noProof/>
      <w:color w:val="000000"/>
      <w:sz w:val="16"/>
      <w:szCs w:val="16"/>
    </w:rPr>
  </w:style>
  <w:style w:type="paragraph" w:styleId="Intestazione">
    <w:name w:val="header"/>
    <w:basedOn w:val="Normale"/>
    <w:link w:val="IntestazioneCarattere"/>
    <w:uiPriority w:val="99"/>
    <w:unhideWhenUsed/>
    <w:rsid w:val="00281C73"/>
    <w:pPr>
      <w:tabs>
        <w:tab w:val="center" w:pos="4819"/>
        <w:tab w:val="right" w:pos="9638"/>
      </w:tabs>
    </w:pPr>
  </w:style>
  <w:style w:type="character" w:customStyle="1" w:styleId="IntestazioneCarattere">
    <w:name w:val="Intestazione Carattere"/>
    <w:basedOn w:val="Carpredefinitoparagrafo"/>
    <w:link w:val="Intestazione"/>
    <w:uiPriority w:val="99"/>
    <w:locked/>
    <w:rsid w:val="00281C73"/>
    <w:rPr>
      <w:rFonts w:cs="Times New Roman"/>
    </w:rPr>
  </w:style>
  <w:style w:type="paragraph" w:styleId="Pidipagina">
    <w:name w:val="footer"/>
    <w:basedOn w:val="Normale"/>
    <w:link w:val="PidipaginaCarattere"/>
    <w:uiPriority w:val="99"/>
    <w:unhideWhenUsed/>
    <w:rsid w:val="00281C73"/>
    <w:pPr>
      <w:tabs>
        <w:tab w:val="center" w:pos="4819"/>
        <w:tab w:val="right" w:pos="9638"/>
      </w:tabs>
    </w:pPr>
  </w:style>
  <w:style w:type="character" w:customStyle="1" w:styleId="PidipaginaCarattere">
    <w:name w:val="Piè di pagina Carattere"/>
    <w:basedOn w:val="Carpredefinitoparagrafo"/>
    <w:link w:val="Pidipagina"/>
    <w:uiPriority w:val="99"/>
    <w:locked/>
    <w:rsid w:val="00281C73"/>
    <w:rPr>
      <w:rFonts w:cs="Times New Roman"/>
    </w:rPr>
  </w:style>
  <w:style w:type="paragraph" w:customStyle="1" w:styleId="TestoSDS">
    <w:name w:val="Testo SDS"/>
    <w:uiPriority w:val="99"/>
    <w:rsid w:val="00281C73"/>
    <w:pPr>
      <w:widowControl w:val="0"/>
      <w:autoSpaceDE w:val="0"/>
      <w:autoSpaceDN w:val="0"/>
      <w:adjustRightInd w:val="0"/>
      <w:spacing w:after="0" w:line="240" w:lineRule="auto"/>
    </w:pPr>
    <w:rPr>
      <w:rFonts w:ascii="Arial" w:hAnsi="Arial" w:cs="Arial"/>
      <w:noProof/>
      <w:sz w:val="20"/>
      <w:szCs w:val="20"/>
    </w:rPr>
  </w:style>
  <w:style w:type="paragraph" w:customStyle="1" w:styleId="ReportHeader0">
    <w:name w:val="ReportHeader"/>
    <w:rsid w:val="002E3CAC"/>
    <w:pPr>
      <w:widowControl w:val="0"/>
      <w:autoSpaceDE w:val="0"/>
      <w:autoSpaceDN w:val="0"/>
      <w:adjustRightInd w:val="0"/>
      <w:spacing w:after="0" w:line="240" w:lineRule="auto"/>
    </w:pPr>
    <w:rPr>
      <w:rFonts w:ascii="Arial" w:hAnsi="Arial" w:cs="Arial"/>
      <w:noProof/>
      <w:color w:val="000000"/>
      <w:sz w:val="16"/>
      <w:szCs w:val="16"/>
    </w:rPr>
  </w:style>
  <w:style w:type="paragraph" w:customStyle="1" w:styleId="SDSText0">
    <w:name w:val="SDS Text"/>
    <w:uiPriority w:val="99"/>
    <w:rsid w:val="00641185"/>
    <w:pPr>
      <w:widowControl w:val="0"/>
      <w:autoSpaceDE w:val="0"/>
      <w:autoSpaceDN w:val="0"/>
      <w:adjustRightInd w:val="0"/>
      <w:spacing w:after="0" w:line="240" w:lineRule="auto"/>
    </w:pPr>
    <w:rPr>
      <w:rFonts w:ascii="Arial" w:hAnsi="Arial" w:cs="Arial"/>
      <w:noProof/>
      <w:color w:val="000000"/>
      <w:sz w:val="20"/>
      <w:szCs w:val="20"/>
    </w:rPr>
  </w:style>
  <w:style w:type="paragraph" w:customStyle="1" w:styleId="SectionTitle0">
    <w:name w:val="Section Title"/>
    <w:uiPriority w:val="99"/>
    <w:rsid w:val="00641185"/>
    <w:pPr>
      <w:widowControl w:val="0"/>
      <w:autoSpaceDE w:val="0"/>
      <w:autoSpaceDN w:val="0"/>
      <w:adjustRightInd w:val="0"/>
      <w:spacing w:before="56" w:after="0" w:line="240" w:lineRule="auto"/>
    </w:pPr>
    <w:rPr>
      <w:rFonts w:ascii="Arial" w:hAnsi="Arial" w:cs="Arial"/>
      <w:b/>
      <w:bCs/>
      <w:noProof/>
      <w:color w:val="0000FF"/>
    </w:rPr>
  </w:style>
  <w:style w:type="character" w:styleId="Collegamentoipertestuale">
    <w:name w:val="Hyperlink"/>
    <w:basedOn w:val="Carpredefinitoparagrafo"/>
    <w:uiPriority w:val="99"/>
    <w:unhideWhenUsed/>
    <w:rsid w:val="002C4D2B"/>
    <w:rPr>
      <w:color w:val="0563C1" w:themeColor="hyperlink"/>
      <w:u w:val="single"/>
    </w:rPr>
  </w:style>
  <w:style w:type="character" w:styleId="Menzionenonrisolta">
    <w:name w:val="Unresolved Mention"/>
    <w:basedOn w:val="Carpredefinitoparagrafo"/>
    <w:uiPriority w:val="99"/>
    <w:semiHidden/>
    <w:unhideWhenUsed/>
    <w:rsid w:val="002C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sistemairgroup.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2814</Words>
  <Characters>16044</Characters>
  <Application>Microsoft Office Word</Application>
  <DocSecurity>4</DocSecurity>
  <Lines>133</Lines>
  <Paragraphs>37</Paragraphs>
  <ScaleCrop>false</ScaleCrop>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~FPL0000.RTF</dc:title>
  <dc:subject>FPL document</dc:subject>
  <dc:creator>WinCHEM</dc:creator>
  <cp:keywords>WinCHEM, Selerant, FPLTORTF</cp:keywords>
  <dc:description/>
  <cp:lastModifiedBy>Carlo Margarita</cp:lastModifiedBy>
  <cp:revision>2</cp:revision>
  <dcterms:created xsi:type="dcterms:W3CDTF">2026-05-27T12:24:00Z</dcterms:created>
  <dcterms:modified xsi:type="dcterms:W3CDTF">2026-05-27T12:24:00Z</dcterms:modified>
</cp:coreProperties>
</file>